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DD6E14">
      <w:pPr>
        <w:shd w:val="clear"/>
        <w:spacing w:line="360" w:lineRule="auto"/>
        <w:jc w:val="left"/>
        <w:rPr>
          <w:rFonts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w:t>
      </w:r>
    </w:p>
    <w:p w14:paraId="204FA005">
      <w:pPr>
        <w:shd w:val="clear"/>
        <w:spacing w:before="120" w:after="120" w:line="360" w:lineRule="auto"/>
        <w:jc w:val="center"/>
        <w:rPr>
          <w:rFonts w:ascii="宋体" w:hAnsi="宋体" w:cs="Arial"/>
          <w:b/>
          <w:bCs/>
          <w:color w:val="000000" w:themeColor="text1"/>
          <w:sz w:val="84"/>
          <w:szCs w:val="84"/>
          <w:highlight w:val="none"/>
          <w14:textFill>
            <w14:solidFill>
              <w14:schemeClr w14:val="tx1"/>
            </w14:solidFill>
          </w14:textFill>
        </w:rPr>
      </w:pPr>
      <w:r>
        <w:rPr>
          <w:rFonts w:hint="eastAsia" w:ascii="宋体" w:hAnsi="宋体" w:cs="Arial"/>
          <w:b/>
          <w:bCs/>
          <w:color w:val="000000" w:themeColor="text1"/>
          <w:sz w:val="84"/>
          <w:szCs w:val="84"/>
          <w:highlight w:val="none"/>
          <w14:textFill>
            <w14:solidFill>
              <w14:schemeClr w14:val="tx1"/>
            </w14:solidFill>
          </w14:textFill>
        </w:rPr>
        <w:t> </w:t>
      </w:r>
    </w:p>
    <w:p w14:paraId="38BA0DC6">
      <w:pPr>
        <w:pStyle w:val="328"/>
        <w:shd w:val="clear"/>
        <w:ind w:firstLine="0"/>
        <w:jc w:val="center"/>
        <w:rPr>
          <w:rFonts w:ascii="宋体" w:hAnsi="宋体"/>
          <w:b/>
          <w:bCs/>
          <w:color w:val="000000" w:themeColor="text1"/>
          <w:sz w:val="72"/>
          <w:szCs w:val="72"/>
          <w:highlight w:val="none"/>
          <w14:textFill>
            <w14:solidFill>
              <w14:schemeClr w14:val="tx1"/>
            </w14:solidFill>
          </w14:textFill>
        </w:rPr>
      </w:pPr>
      <w:r>
        <w:rPr>
          <w:rFonts w:hint="eastAsia" w:ascii="宋体" w:hAnsi="宋体"/>
          <w:b/>
          <w:bCs/>
          <w:color w:val="000000" w:themeColor="text1"/>
          <w:sz w:val="72"/>
          <w:szCs w:val="72"/>
          <w:highlight w:val="none"/>
          <w14:textFill>
            <w14:solidFill>
              <w14:schemeClr w14:val="tx1"/>
            </w14:solidFill>
          </w14:textFill>
        </w:rPr>
        <w:t>招</w:t>
      </w:r>
      <w:r>
        <w:rPr>
          <w:rFonts w:hint="eastAsia" w:ascii="宋体" w:hAnsi="宋体"/>
          <w:b/>
          <w:bCs/>
          <w:color w:val="000000" w:themeColor="text1"/>
          <w:sz w:val="72"/>
          <w:szCs w:val="72"/>
          <w:highlight w:val="none"/>
          <w:lang w:val="en-US" w:eastAsia="zh-CN"/>
          <w14:textFill>
            <w14:solidFill>
              <w14:schemeClr w14:val="tx1"/>
            </w14:solidFill>
          </w14:textFill>
        </w:rPr>
        <w:t xml:space="preserve">  </w:t>
      </w:r>
      <w:r>
        <w:rPr>
          <w:rFonts w:hint="eastAsia" w:ascii="宋体" w:hAnsi="宋体"/>
          <w:b/>
          <w:bCs/>
          <w:color w:val="000000" w:themeColor="text1"/>
          <w:sz w:val="72"/>
          <w:szCs w:val="72"/>
          <w:highlight w:val="none"/>
          <w14:textFill>
            <w14:solidFill>
              <w14:schemeClr w14:val="tx1"/>
            </w14:solidFill>
          </w14:textFill>
        </w:rPr>
        <w:t>标　文　件</w:t>
      </w:r>
    </w:p>
    <w:p w14:paraId="2CA05FB0">
      <w:pPr>
        <w:pStyle w:val="328"/>
        <w:shd w:val="clear"/>
        <w:ind w:firstLine="0"/>
        <w:jc w:val="center"/>
        <w:rPr>
          <w:rFonts w:hint="eastAsia" w:ascii="宋体" w:hAnsi="宋体" w:eastAsia="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项目名称：</w:t>
      </w:r>
      <w:r>
        <w:rPr>
          <w:rFonts w:hint="eastAsia" w:ascii="宋体" w:hAnsi="宋体"/>
          <w:b/>
          <w:bCs/>
          <w:color w:val="000000" w:themeColor="text1"/>
          <w:sz w:val="32"/>
          <w:szCs w:val="32"/>
          <w:highlight w:val="none"/>
          <w:lang w:eastAsia="zh-CN"/>
          <w14:textFill>
            <w14:solidFill>
              <w14:schemeClr w14:val="tx1"/>
            </w14:solidFill>
          </w14:textFill>
        </w:rPr>
        <w:t>张家港市常阴沙现代农业示范园区2026-2027年度常阴沙镇级绿化养护服务</w:t>
      </w:r>
    </w:p>
    <w:p w14:paraId="734EDE59">
      <w:pPr>
        <w:pStyle w:val="328"/>
        <w:shd w:val="clear"/>
        <w:ind w:firstLine="0"/>
        <w:jc w:val="center"/>
        <w:rPr>
          <w:rFonts w:hint="eastAsia" w:ascii="宋体" w:hAnsi="宋体" w:eastAsia="宋体"/>
          <w:color w:val="000000" w:themeColor="text1"/>
          <w:sz w:val="32"/>
          <w:szCs w:val="32"/>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项目编号：</w:t>
      </w:r>
      <w:r>
        <w:rPr>
          <w:rFonts w:hint="eastAsia" w:ascii="宋体" w:hAnsi="宋体"/>
          <w:b/>
          <w:color w:val="000000" w:themeColor="text1"/>
          <w:sz w:val="32"/>
          <w:szCs w:val="32"/>
          <w:highlight w:val="none"/>
          <w:lang w:eastAsia="zh-CN"/>
          <w14:textFill>
            <w14:solidFill>
              <w14:schemeClr w14:val="tx1"/>
            </w14:solidFill>
          </w14:textFill>
        </w:rPr>
        <w:t>JSZC-320582-RHZH-G2025-0093</w:t>
      </w:r>
    </w:p>
    <w:p w14:paraId="45D40C06">
      <w:pPr>
        <w:pStyle w:val="328"/>
        <w:shd w:val="clear"/>
        <w:spacing w:before="0" w:after="0"/>
        <w:ind w:firstLine="0"/>
        <w:jc w:val="center"/>
        <w:rPr>
          <w:rFonts w:ascii="宋体" w:hAnsi="宋体"/>
          <w:color w:val="000000" w:themeColor="text1"/>
          <w:sz w:val="32"/>
          <w:szCs w:val="32"/>
          <w:highlight w:val="none"/>
          <w14:textFill>
            <w14:solidFill>
              <w14:schemeClr w14:val="tx1"/>
            </w14:solidFill>
          </w14:textFill>
        </w:rPr>
      </w:pPr>
      <w:r>
        <w:rPr>
          <w:rFonts w:hint="eastAsia" w:ascii="宋体" w:hAnsi="宋体"/>
          <w:b/>
          <w:color w:val="auto"/>
          <w:sz w:val="32"/>
          <w:szCs w:val="32"/>
          <w:highlight w:val="none"/>
        </w:rPr>
        <w:t>项目属性：</w:t>
      </w:r>
      <w:r>
        <w:rPr>
          <w:rFonts w:hint="eastAsia" w:ascii="宋体" w:hAnsi="宋体"/>
          <w:b/>
          <w:bCs/>
          <w:color w:val="auto"/>
          <w:sz w:val="32"/>
          <w:szCs w:val="32"/>
          <w:highlight w:val="none"/>
          <w:lang w:val="en-US" w:eastAsia="zh-CN"/>
        </w:rPr>
        <w:t>服务类</w:t>
      </w:r>
    </w:p>
    <w:p w14:paraId="0FD3317E">
      <w:pPr>
        <w:pStyle w:val="328"/>
        <w:shd w:val="clear"/>
        <w:spacing w:before="0" w:after="0"/>
        <w:ind w:firstLine="0"/>
        <w:rPr>
          <w:rFonts w:ascii="宋体" w:hAnsi="宋体"/>
          <w:color w:val="000000" w:themeColor="text1"/>
          <w:sz w:val="32"/>
          <w:szCs w:val="32"/>
          <w:highlight w:val="none"/>
          <w14:textFill>
            <w14:solidFill>
              <w14:schemeClr w14:val="tx1"/>
            </w14:solidFill>
          </w14:textFill>
        </w:rPr>
      </w:pPr>
    </w:p>
    <w:p w14:paraId="4B066BDC">
      <w:pPr>
        <w:pStyle w:val="328"/>
        <w:shd w:val="clear"/>
        <w:spacing w:before="0" w:after="0"/>
        <w:ind w:firstLine="0"/>
        <w:rPr>
          <w:rFonts w:ascii="宋体" w:hAnsi="宋体"/>
          <w:color w:val="000000" w:themeColor="text1"/>
          <w:sz w:val="32"/>
          <w:szCs w:val="32"/>
          <w:highlight w:val="none"/>
          <w14:textFill>
            <w14:solidFill>
              <w14:schemeClr w14:val="tx1"/>
            </w14:solidFill>
          </w14:textFill>
        </w:rPr>
      </w:pPr>
    </w:p>
    <w:p w14:paraId="0BD3B107">
      <w:pPr>
        <w:pStyle w:val="328"/>
        <w:shd w:val="clear"/>
        <w:spacing w:before="0" w:after="0"/>
        <w:ind w:firstLine="0"/>
        <w:rPr>
          <w:rFonts w:ascii="宋体" w:hAnsi="宋体"/>
          <w:color w:val="000000" w:themeColor="text1"/>
          <w:sz w:val="32"/>
          <w:szCs w:val="32"/>
          <w:highlight w:val="none"/>
          <w14:textFill>
            <w14:solidFill>
              <w14:schemeClr w14:val="tx1"/>
            </w14:solidFill>
          </w14:textFill>
        </w:rPr>
      </w:pPr>
    </w:p>
    <w:p w14:paraId="26032150">
      <w:pPr>
        <w:pStyle w:val="328"/>
        <w:shd w:val="clear"/>
        <w:spacing w:before="0" w:after="0"/>
        <w:ind w:firstLine="0"/>
        <w:rPr>
          <w:rFonts w:ascii="宋体" w:hAnsi="宋体"/>
          <w:color w:val="000000" w:themeColor="text1"/>
          <w:sz w:val="32"/>
          <w:szCs w:val="32"/>
          <w:highlight w:val="none"/>
          <w14:textFill>
            <w14:solidFill>
              <w14:schemeClr w14:val="tx1"/>
            </w14:solidFill>
          </w14:textFill>
        </w:rPr>
      </w:pPr>
    </w:p>
    <w:p w14:paraId="729329DB">
      <w:pPr>
        <w:pStyle w:val="328"/>
        <w:shd w:val="clear"/>
        <w:spacing w:before="0" w:after="0"/>
        <w:ind w:firstLine="0"/>
        <w:rPr>
          <w:rFonts w:ascii="宋体" w:hAnsi="宋体"/>
          <w:color w:val="000000" w:themeColor="text1"/>
          <w:sz w:val="32"/>
          <w:szCs w:val="32"/>
          <w:highlight w:val="none"/>
          <w14:textFill>
            <w14:solidFill>
              <w14:schemeClr w14:val="tx1"/>
            </w14:solidFill>
          </w14:textFill>
        </w:rPr>
      </w:pPr>
    </w:p>
    <w:p w14:paraId="0C0BDE17">
      <w:pPr>
        <w:pStyle w:val="328"/>
        <w:shd w:val="clear"/>
        <w:spacing w:before="0" w:after="0"/>
        <w:ind w:firstLine="0"/>
        <w:rPr>
          <w:rFonts w:ascii="宋体" w:hAnsi="宋体"/>
          <w:color w:val="000000" w:themeColor="text1"/>
          <w:sz w:val="32"/>
          <w:szCs w:val="32"/>
          <w:highlight w:val="none"/>
          <w14:textFill>
            <w14:solidFill>
              <w14:schemeClr w14:val="tx1"/>
            </w14:solidFill>
          </w14:textFill>
        </w:rPr>
      </w:pPr>
    </w:p>
    <w:p w14:paraId="598E67BA">
      <w:pPr>
        <w:pStyle w:val="255"/>
        <w:shd w:val="clear"/>
        <w:spacing w:line="360" w:lineRule="auto"/>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江苏仁合中惠工程咨询有限公司</w:t>
      </w:r>
    </w:p>
    <w:p w14:paraId="63B0FC07">
      <w:pPr>
        <w:pStyle w:val="328"/>
        <w:shd w:val="clear"/>
        <w:ind w:firstLine="0"/>
        <w:jc w:val="center"/>
        <w:rPr>
          <w:rFonts w:ascii="宋体" w:hAnsi="宋体" w:cs="宋体"/>
          <w:b/>
          <w:bCs/>
          <w:color w:val="000000" w:themeColor="text1"/>
          <w:sz w:val="32"/>
          <w:highlight w:val="none"/>
          <w14:textFill>
            <w14:solidFill>
              <w14:schemeClr w14:val="tx1"/>
            </w14:solidFill>
          </w14:textFill>
        </w:rPr>
      </w:pPr>
      <w:bookmarkStart w:id="0" w:name="EB52307051e0d04806912e5842f73c8551"/>
      <w:r>
        <w:rPr>
          <w:rFonts w:hint="eastAsia" w:ascii="宋体" w:hAnsi="宋体" w:cs="宋体"/>
          <w:b/>
          <w:bCs/>
          <w:color w:val="000000" w:themeColor="text1"/>
          <w:sz w:val="32"/>
          <w:highlight w:val="none"/>
          <w14:textFill>
            <w14:solidFill>
              <w14:schemeClr w14:val="tx1"/>
            </w14:solidFill>
          </w14:textFill>
        </w:rPr>
        <w:t>2025年</w:t>
      </w:r>
      <w:r>
        <w:rPr>
          <w:rFonts w:hint="eastAsia" w:ascii="宋体" w:hAnsi="宋体" w:cs="宋体"/>
          <w:b/>
          <w:bCs/>
          <w:color w:val="000000" w:themeColor="text1"/>
          <w:sz w:val="32"/>
          <w:highlight w:val="none"/>
          <w:lang w:val="en-US" w:eastAsia="zh-CN"/>
          <w14:textFill>
            <w14:solidFill>
              <w14:schemeClr w14:val="tx1"/>
            </w14:solidFill>
          </w14:textFill>
        </w:rPr>
        <w:t>12</w:t>
      </w:r>
      <w:r>
        <w:rPr>
          <w:rFonts w:hint="eastAsia" w:ascii="宋体" w:hAnsi="宋体" w:cs="宋体"/>
          <w:b/>
          <w:bCs/>
          <w:color w:val="000000" w:themeColor="text1"/>
          <w:sz w:val="32"/>
          <w:highlight w:val="none"/>
          <w14:textFill>
            <w14:solidFill>
              <w14:schemeClr w14:val="tx1"/>
            </w14:solidFill>
          </w14:textFill>
        </w:rPr>
        <w:t>月</w:t>
      </w:r>
      <w:bookmarkEnd w:id="0"/>
    </w:p>
    <w:p w14:paraId="26B2F92D">
      <w:pPr>
        <w:shd w:val="clear"/>
        <w:spacing w:before="120" w:after="120" w:line="360" w:lineRule="auto"/>
        <w:jc w:val="center"/>
        <w:rPr>
          <w:rFonts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w:t>
      </w:r>
    </w:p>
    <w:p w14:paraId="53253E8A">
      <w:pPr>
        <w:shd w:val="clear"/>
        <w:spacing w:before="120" w:after="120" w:line="360" w:lineRule="auto"/>
        <w:jc w:val="center"/>
        <w:rPr>
          <w:rFonts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w:t>
      </w:r>
    </w:p>
    <w:p w14:paraId="3290445C">
      <w:pPr>
        <w:shd w:val="clear"/>
        <w:spacing w:before="120" w:after="120" w:line="360" w:lineRule="auto"/>
        <w:jc w:val="center"/>
        <w:rPr>
          <w:rFonts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w:t>
      </w:r>
    </w:p>
    <w:p w14:paraId="4388AB49">
      <w:pPr>
        <w:shd w:val="clear"/>
        <w:spacing w:line="360" w:lineRule="auto"/>
        <w:jc w:val="center"/>
        <w:rPr>
          <w:rFonts w:ascii="宋体" w:hAnsi="宋体"/>
          <w:b/>
          <w:bCs/>
          <w:color w:val="000000" w:themeColor="text1"/>
          <w:sz w:val="44"/>
          <w:szCs w:val="44"/>
          <w:highlight w:val="none"/>
          <w14:textFill>
            <w14:solidFill>
              <w14:schemeClr w14:val="tx1"/>
            </w14:solidFill>
          </w14:textFill>
        </w:rPr>
        <w:sectPr>
          <w:footerReference r:id="rId5" w:type="first"/>
          <w:headerReference r:id="rId3" w:type="default"/>
          <w:footerReference r:id="rId4" w:type="even"/>
          <w:pgSz w:w="11906" w:h="16838"/>
          <w:pgMar w:top="1440" w:right="1474" w:bottom="1440" w:left="1474" w:header="851" w:footer="992" w:gutter="0"/>
          <w:pgNumType w:start="1"/>
          <w:cols w:space="1701" w:num="1"/>
          <w:titlePg/>
          <w:docGrid w:linePitch="360" w:charSpace="0"/>
        </w:sectPr>
      </w:pPr>
      <w:bookmarkStart w:id="1" w:name="_Toc120614210"/>
      <w:bookmarkStart w:id="2" w:name="_Toc523127445"/>
      <w:bookmarkStart w:id="3" w:name="_Toc20823272"/>
      <w:bookmarkStart w:id="4" w:name="_Toc479757206"/>
      <w:bookmarkStart w:id="5" w:name="_Toc513029200"/>
      <w:bookmarkStart w:id="6" w:name="_Toc16938516"/>
    </w:p>
    <w:p w14:paraId="4798786F">
      <w:pPr>
        <w:shd w:val="clear"/>
        <w:spacing w:line="360" w:lineRule="auto"/>
        <w:jc w:val="center"/>
        <w:rPr>
          <w:rFonts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总  目  录</w:t>
      </w:r>
    </w:p>
    <w:p w14:paraId="266ED8F8">
      <w:pPr>
        <w:shd w:val="clear"/>
        <w:tabs>
          <w:tab w:val="left" w:pos="1440"/>
        </w:tabs>
        <w:spacing w:line="360" w:lineRule="auto"/>
        <w:rPr>
          <w:rFonts w:ascii="宋体" w:hAnsi="宋体"/>
          <w:b/>
          <w:bCs/>
          <w:color w:val="000000" w:themeColor="text1"/>
          <w:sz w:val="28"/>
          <w:szCs w:val="28"/>
          <w:highlight w:val="none"/>
          <w14:textFill>
            <w14:solidFill>
              <w14:schemeClr w14:val="tx1"/>
            </w14:solidFill>
          </w14:textFill>
        </w:rPr>
      </w:pPr>
    </w:p>
    <w:p w14:paraId="48B5DFD9">
      <w:pPr>
        <w:shd w:val="clear"/>
        <w:rPr>
          <w:color w:val="000000" w:themeColor="text1"/>
          <w:highlight w:val="none"/>
          <w14:textFill>
            <w14:solidFill>
              <w14:schemeClr w14:val="tx1"/>
            </w14:solidFill>
          </w14:textFill>
        </w:rPr>
      </w:pPr>
    </w:p>
    <w:p w14:paraId="6B9B720F">
      <w:pPr>
        <w:pStyle w:val="25"/>
        <w:shd w:val="clear"/>
        <w:tabs>
          <w:tab w:val="right" w:leader="dot" w:pos="9660"/>
        </w:tabs>
        <w:spacing w:line="360" w:lineRule="auto"/>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pPr>
      <w:r>
        <w:rPr>
          <w:rFonts w:eastAsia="黑体"/>
          <w:b w:val="0"/>
          <w:bCs w:val="0"/>
          <w:color w:val="000000" w:themeColor="text1"/>
          <w:highlight w:val="none"/>
          <w14:textFill>
            <w14:solidFill>
              <w14:schemeClr w14:val="tx1"/>
            </w14:solidFill>
          </w14:textFill>
        </w:rPr>
        <w:fldChar w:fldCharType="begin"/>
      </w:r>
      <w:r>
        <w:rPr>
          <w:rFonts w:eastAsia="黑体"/>
          <w:b w:val="0"/>
          <w:bCs w:val="0"/>
          <w:color w:val="000000" w:themeColor="text1"/>
          <w:highlight w:val="none"/>
          <w14:textFill>
            <w14:solidFill>
              <w14:schemeClr w14:val="tx1"/>
            </w14:solidFill>
          </w14:textFill>
        </w:rPr>
        <w:instrText xml:space="preserve">TOC \o "1-1" \h \u </w:instrText>
      </w:r>
      <w:r>
        <w:rPr>
          <w:rFonts w:eastAsia="黑体"/>
          <w:b w:val="0"/>
          <w:bCs w:val="0"/>
          <w:color w:val="000000" w:themeColor="text1"/>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HYPERLINK \l _Toc7403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第一章  投标邀请</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ab/>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PAGEREF _Toc7403 \h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2</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p>
    <w:p w14:paraId="4E8FA7B1">
      <w:pPr>
        <w:pStyle w:val="25"/>
        <w:shd w:val="clear"/>
        <w:tabs>
          <w:tab w:val="right" w:leader="dot" w:pos="9660"/>
        </w:tabs>
        <w:spacing w:line="360" w:lineRule="auto"/>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HYPERLINK \l _Toc1463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第二章  投标人须知</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ab/>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PAGEREF _Toc1463 \h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5</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p>
    <w:p w14:paraId="7B944FF9">
      <w:pPr>
        <w:pStyle w:val="25"/>
        <w:shd w:val="clear"/>
        <w:tabs>
          <w:tab w:val="right" w:leader="dot" w:pos="9660"/>
        </w:tabs>
        <w:spacing w:line="360" w:lineRule="auto"/>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HYPERLINK \l _Toc18566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第三章  合同文本</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ab/>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PAGEREF _Toc18566 \h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16</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p>
    <w:p w14:paraId="2A811179">
      <w:pPr>
        <w:pStyle w:val="25"/>
        <w:shd w:val="clear"/>
        <w:tabs>
          <w:tab w:val="right" w:leader="dot" w:pos="9660"/>
        </w:tabs>
        <w:spacing w:line="360" w:lineRule="auto"/>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HYPERLINK \l _Toc29301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 xml:space="preserve">第四章  </w:t>
      </w:r>
      <w:r>
        <w:rPr>
          <w:rFonts w:hint="eastAsia" w:asciiTheme="majorEastAsia" w:hAnsiTheme="majorEastAsia" w:eastAsiaTheme="majorEastAsia" w:cstheme="majorEastAsia"/>
          <w:b w:val="0"/>
          <w:bCs w:val="0"/>
          <w:color w:val="000000" w:themeColor="text1"/>
          <w:sz w:val="36"/>
          <w:szCs w:val="40"/>
          <w:highlight w:val="none"/>
          <w:lang w:eastAsia="zh-CN"/>
          <w14:textFill>
            <w14:solidFill>
              <w14:schemeClr w14:val="tx1"/>
            </w14:solidFill>
          </w14:textFill>
        </w:rPr>
        <w:t>项目需求</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ab/>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PAGEREF _Toc29301 \h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20</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p>
    <w:p w14:paraId="30A4BA94">
      <w:pPr>
        <w:pStyle w:val="25"/>
        <w:shd w:val="clear"/>
        <w:tabs>
          <w:tab w:val="right" w:leader="dot" w:pos="9660"/>
        </w:tabs>
        <w:spacing w:line="360" w:lineRule="auto"/>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HYPERLINK \l _Toc23587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8"/>
          <w:highlight w:val="none"/>
          <w:lang w:val="en-US" w:eastAsia="zh-CN" w:bidi="ar-SA"/>
          <w14:textFill>
            <w14:solidFill>
              <w14:schemeClr w14:val="tx1"/>
            </w14:solidFill>
          </w14:textFill>
        </w:rPr>
        <w:t>第五章  评标方法与评标标准</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ab/>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PAGEREF _Toc23587 \h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37</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p>
    <w:p w14:paraId="07C0D64E">
      <w:pPr>
        <w:pStyle w:val="25"/>
        <w:shd w:val="clear"/>
        <w:tabs>
          <w:tab w:val="right" w:leader="dot" w:pos="9660"/>
        </w:tabs>
        <w:spacing w:line="360" w:lineRule="auto"/>
        <w:rPr>
          <w:b w:val="0"/>
          <w:bCs w:val="0"/>
          <w:color w:val="000000" w:themeColor="text1"/>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HYPERLINK \l _Toc12933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第六章  投标文件格式</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ab/>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begin"/>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instrText xml:space="preserve"> PAGEREF _Toc12933 \h </w:instrTex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separate"/>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t>41</w:t>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r>
        <w:rPr>
          <w:rFonts w:hint="eastAsia" w:asciiTheme="majorEastAsia" w:hAnsiTheme="majorEastAsia" w:eastAsiaTheme="majorEastAsia" w:cstheme="majorEastAsia"/>
          <w:b w:val="0"/>
          <w:bCs w:val="0"/>
          <w:color w:val="000000" w:themeColor="text1"/>
          <w:sz w:val="36"/>
          <w:szCs w:val="40"/>
          <w:highlight w:val="none"/>
          <w14:textFill>
            <w14:solidFill>
              <w14:schemeClr w14:val="tx1"/>
            </w14:solidFill>
          </w14:textFill>
        </w:rPr>
        <w:fldChar w:fldCharType="end"/>
      </w:r>
    </w:p>
    <w:p w14:paraId="6FC93191">
      <w:pPr>
        <w:shd w:val="clear"/>
        <w:spacing w:line="480" w:lineRule="auto"/>
        <w:jc w:val="center"/>
        <w:rPr>
          <w:rFonts w:eastAsia="黑体"/>
          <w:color w:val="000000" w:themeColor="text1"/>
          <w:highlight w:val="none"/>
          <w14:textFill>
            <w14:solidFill>
              <w14:schemeClr w14:val="tx1"/>
            </w14:solidFill>
          </w14:textFill>
        </w:rPr>
        <w:sectPr>
          <w:footerReference r:id="rId7" w:type="first"/>
          <w:footerReference r:id="rId6" w:type="default"/>
          <w:pgSz w:w="11906" w:h="16838"/>
          <w:pgMar w:top="1440" w:right="1134" w:bottom="1440" w:left="1134" w:header="851" w:footer="992" w:gutter="0"/>
          <w:pgNumType w:start="1"/>
          <w:cols w:space="1701" w:num="1"/>
          <w:docGrid w:linePitch="360" w:charSpace="0"/>
        </w:sectPr>
      </w:pPr>
      <w:r>
        <w:rPr>
          <w:rFonts w:eastAsia="黑体"/>
          <w:b w:val="0"/>
          <w:bCs w:val="0"/>
          <w:color w:val="000000" w:themeColor="text1"/>
          <w:highlight w:val="none"/>
          <w14:textFill>
            <w14:solidFill>
              <w14:schemeClr w14:val="tx1"/>
            </w14:solidFill>
          </w14:textFill>
        </w:rPr>
        <w:fldChar w:fldCharType="end"/>
      </w:r>
      <w:bookmarkEnd w:id="1"/>
    </w:p>
    <w:p w14:paraId="5CC2580C">
      <w:pPr>
        <w:pStyle w:val="2"/>
        <w:shd w:val="clear"/>
        <w:jc w:val="center"/>
        <w:rPr>
          <w:b/>
          <w:bCs/>
          <w:color w:val="000000" w:themeColor="text1"/>
          <w:highlight w:val="none"/>
          <w14:textFill>
            <w14:solidFill>
              <w14:schemeClr w14:val="tx1"/>
            </w14:solidFill>
          </w14:textFill>
        </w:rPr>
      </w:pPr>
      <w:bookmarkStart w:id="7" w:name="_Toc38368118"/>
      <w:bookmarkStart w:id="8" w:name="_Toc3546"/>
      <w:bookmarkStart w:id="9" w:name="_Toc35266018"/>
      <w:bookmarkStart w:id="10" w:name="_Toc54615237"/>
      <w:bookmarkStart w:id="11" w:name="_Toc7403"/>
      <w:r>
        <w:rPr>
          <w:rFonts w:hint="eastAsia"/>
          <w:b/>
          <w:bCs/>
          <w:color w:val="000000" w:themeColor="text1"/>
          <w:highlight w:val="none"/>
          <w14:textFill>
            <w14:solidFill>
              <w14:schemeClr w14:val="tx1"/>
            </w14:solidFill>
          </w14:textFill>
        </w:rPr>
        <w:t>第一章  投标邀请</w:t>
      </w:r>
      <w:bookmarkEnd w:id="7"/>
      <w:bookmarkEnd w:id="8"/>
      <w:bookmarkEnd w:id="9"/>
      <w:bookmarkEnd w:id="10"/>
      <w:bookmarkEnd w:id="11"/>
      <w:bookmarkStart w:id="12" w:name="_Toc120614211"/>
    </w:p>
    <w:p w14:paraId="0DB63720">
      <w:pPr>
        <w:widowControl/>
        <w:shd w:val="clear" w:color="auto"/>
        <w:spacing w:line="360" w:lineRule="auto"/>
        <w:ind w:firstLine="480"/>
        <w:jc w:val="left"/>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11430</wp:posOffset>
                </wp:positionH>
                <wp:positionV relativeFrom="paragraph">
                  <wp:posOffset>1190625</wp:posOffset>
                </wp:positionV>
                <wp:extent cx="5800090" cy="1498600"/>
                <wp:effectExtent l="5080" t="4445" r="5080" b="20955"/>
                <wp:wrapTopAndBottom/>
                <wp:docPr id="5" name="文本框 5"/>
                <wp:cNvGraphicFramePr/>
                <a:graphic xmlns:a="http://schemas.openxmlformats.org/drawingml/2006/main">
                  <a:graphicData uri="http://schemas.microsoft.com/office/word/2010/wordprocessingShape">
                    <wps:wsp>
                      <wps:cNvSpPr txBox="1"/>
                      <wps:spPr bwMode="auto">
                        <a:xfrm>
                          <a:off x="0" y="0"/>
                          <a:ext cx="5800090" cy="1498492"/>
                        </a:xfrm>
                        <a:prstGeom prst="rect">
                          <a:avLst/>
                        </a:prstGeom>
                        <a:noFill/>
                        <a:ln>
                          <a:solidFill>
                            <a:srgbClr val="000000"/>
                          </a:solidFill>
                        </a:ln>
                      </wps:spPr>
                      <wps:txbx>
                        <w:txbxContent>
                          <w:p w14:paraId="732B8C2E">
                            <w:pPr>
                              <w:spacing w:line="360" w:lineRule="auto"/>
                              <w:ind w:firstLine="480"/>
                              <w:rPr>
                                <w:sz w:val="24"/>
                                <w:szCs w:val="28"/>
                              </w:rPr>
                            </w:pPr>
                            <w:r>
                              <w:rPr>
                                <w:rFonts w:hint="eastAsia"/>
                                <w:sz w:val="24"/>
                                <w:szCs w:val="28"/>
                              </w:rPr>
                              <w:t>项目概况</w:t>
                            </w:r>
                          </w:p>
                          <w:p w14:paraId="5093567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cs="宋体"/>
                                <w:sz w:val="24"/>
                                <w:szCs w:val="24"/>
                                <w:shd w:val="clear" w:color="auto" w:fill="FFFFFF"/>
                                <w:lang w:eastAsia="zh-CN"/>
                              </w:rPr>
                              <w:t>张家港市常阴沙现代农业示范园区2026-2027年度常阴沙镇级绿化养护服务JSZC-320582-RHZH-G2025-0093</w:t>
                            </w:r>
                            <w:r>
                              <w:rPr>
                                <w:rFonts w:hint="eastAsia" w:ascii="宋体" w:hAnsi="宋体" w:eastAsia="宋体" w:cs="宋体"/>
                                <w:sz w:val="24"/>
                                <w:szCs w:val="24"/>
                                <w:highlight w:val="none"/>
                              </w:rPr>
                              <w:t>招</w:t>
                            </w:r>
                            <w:r>
                              <w:rPr>
                                <w:rFonts w:hint="eastAsia" w:ascii="宋体" w:hAnsi="宋体" w:eastAsia="宋体" w:cs="宋体"/>
                                <w:sz w:val="24"/>
                                <w:szCs w:val="24"/>
                              </w:rPr>
                              <w:t>标项目的潜在投标人</w:t>
                            </w:r>
                            <w:r>
                              <w:rPr>
                                <w:rFonts w:hint="eastAsia" w:ascii="宋体" w:hAnsi="宋体" w:eastAsia="宋体" w:cs="宋体"/>
                                <w:color w:val="000000"/>
                                <w:spacing w:val="8"/>
                                <w:sz w:val="24"/>
                                <w:szCs w:val="24"/>
                              </w:rPr>
                              <w:t>应在苏采</w:t>
                            </w:r>
                            <w:r>
                              <w:rPr>
                                <w:rFonts w:hint="eastAsia" w:ascii="宋体" w:hAnsi="宋体" w:eastAsia="宋体" w:cs="宋体"/>
                                <w:color w:val="000000"/>
                                <w:spacing w:val="8"/>
                                <w:sz w:val="24"/>
                                <w:szCs w:val="24"/>
                                <w:highlight w:val="none"/>
                              </w:rPr>
                              <w:t>云政府采购一体化平台（网址：http://jszfcg.jsczt.cn/）获取招</w:t>
                            </w:r>
                            <w:r>
                              <w:rPr>
                                <w:rFonts w:hint="eastAsia" w:ascii="宋体" w:hAnsi="宋体" w:eastAsia="宋体" w:cs="宋体"/>
                                <w:color w:val="000000"/>
                                <w:sz w:val="24"/>
                                <w:szCs w:val="24"/>
                                <w:highlight w:val="none"/>
                              </w:rPr>
                              <w:t>标文件</w:t>
                            </w:r>
                            <w:r>
                              <w:rPr>
                                <w:rFonts w:hint="eastAsia" w:ascii="宋体" w:hAnsi="宋体" w:eastAsia="宋体" w:cs="宋体"/>
                                <w:sz w:val="24"/>
                                <w:szCs w:val="24"/>
                                <w:highlight w:val="none"/>
                              </w:rPr>
                              <w:t>，并于2025年</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24</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0分</w:t>
                            </w:r>
                            <w:r>
                              <w:rPr>
                                <w:rFonts w:hint="eastAsia" w:ascii="宋体" w:hAnsi="宋体" w:eastAsia="宋体" w:cs="宋体"/>
                                <w:bCs/>
                                <w:sz w:val="24"/>
                                <w:szCs w:val="24"/>
                                <w:highlight w:val="none"/>
                              </w:rPr>
                              <w:t>（北京时间）前递交投标文件</w:t>
                            </w:r>
                            <w:r>
                              <w:rPr>
                                <w:rFonts w:hint="eastAsia" w:ascii="宋体" w:hAnsi="宋体" w:eastAsia="宋体" w:cs="宋体"/>
                                <w:sz w:val="24"/>
                                <w:szCs w:val="24"/>
                                <w:highlight w:val="none"/>
                              </w:rPr>
                              <w:t>。</w:t>
                            </w:r>
                          </w:p>
                        </w:txbxContent>
                      </wps:txbx>
                      <wps:bodyPr wrap="square" upright="1"/>
                    </wps:wsp>
                  </a:graphicData>
                </a:graphic>
              </wp:anchor>
            </w:drawing>
          </mc:Choice>
          <mc:Fallback>
            <w:pict>
              <v:shape id="_x0000_s1026" o:spid="_x0000_s1026" o:spt="202" type="#_x0000_t202" style="position:absolute;left:0pt;margin-left:0.9pt;margin-top:93.75pt;height:118pt;width:456.7pt;mso-wrap-distance-bottom:0pt;mso-wrap-distance-top:0pt;z-index:251662336;mso-width-relative:page;mso-height-relative:page;" filled="f" stroked="t" coordsize="21600,21600" o:gfxdata="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ibg0dYAAAAJAQAADwAAAAAAAAABACAA&#10;AAAiAAAAZHJzL2Rvd25yZXYueG1sUEsBAhQAFAAAAAgAh07iQM7V/i3WAQAAlAMAAA4AAAAAAAAA&#10;AQAgAAAAJQEAAGRycy9lMm9Eb2MueG1sUEsFBgAAAAAGAAYAWQEAAG0FAAAAAA==&#10;">
                <v:fill on="f" focussize="0,0"/>
                <v:stroke color="#000000" joinstyle="round"/>
                <v:imagedata o:title=""/>
                <o:lock v:ext="edit" aspectratio="f"/>
                <v:textbox>
                  <w:txbxContent>
                    <w:p w14:paraId="732B8C2E">
                      <w:pPr>
                        <w:spacing w:line="360" w:lineRule="auto"/>
                        <w:ind w:firstLine="480"/>
                        <w:rPr>
                          <w:sz w:val="24"/>
                          <w:szCs w:val="28"/>
                        </w:rPr>
                      </w:pPr>
                      <w:r>
                        <w:rPr>
                          <w:rFonts w:hint="eastAsia"/>
                          <w:sz w:val="24"/>
                          <w:szCs w:val="28"/>
                        </w:rPr>
                        <w:t>项目概况</w:t>
                      </w:r>
                    </w:p>
                    <w:p w14:paraId="5093567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cs="宋体"/>
                          <w:sz w:val="24"/>
                          <w:szCs w:val="24"/>
                          <w:shd w:val="clear" w:color="auto" w:fill="FFFFFF"/>
                          <w:lang w:eastAsia="zh-CN"/>
                        </w:rPr>
                        <w:t>张家港市常阴沙现代农业示范园区2026-2027年度常阴沙镇级绿化养护服务JSZC-320582-RHZH-G2025-0093</w:t>
                      </w:r>
                      <w:r>
                        <w:rPr>
                          <w:rFonts w:hint="eastAsia" w:ascii="宋体" w:hAnsi="宋体" w:eastAsia="宋体" w:cs="宋体"/>
                          <w:sz w:val="24"/>
                          <w:szCs w:val="24"/>
                          <w:highlight w:val="none"/>
                        </w:rPr>
                        <w:t>招</w:t>
                      </w:r>
                      <w:r>
                        <w:rPr>
                          <w:rFonts w:hint="eastAsia" w:ascii="宋体" w:hAnsi="宋体" w:eastAsia="宋体" w:cs="宋体"/>
                          <w:sz w:val="24"/>
                          <w:szCs w:val="24"/>
                        </w:rPr>
                        <w:t>标项目的潜在投标人</w:t>
                      </w:r>
                      <w:r>
                        <w:rPr>
                          <w:rFonts w:hint="eastAsia" w:ascii="宋体" w:hAnsi="宋体" w:eastAsia="宋体" w:cs="宋体"/>
                          <w:color w:val="000000"/>
                          <w:spacing w:val="8"/>
                          <w:sz w:val="24"/>
                          <w:szCs w:val="24"/>
                        </w:rPr>
                        <w:t>应在苏采</w:t>
                      </w:r>
                      <w:r>
                        <w:rPr>
                          <w:rFonts w:hint="eastAsia" w:ascii="宋体" w:hAnsi="宋体" w:eastAsia="宋体" w:cs="宋体"/>
                          <w:color w:val="000000"/>
                          <w:spacing w:val="8"/>
                          <w:sz w:val="24"/>
                          <w:szCs w:val="24"/>
                          <w:highlight w:val="none"/>
                        </w:rPr>
                        <w:t>云政府采购一体化平台（网址：http://jszfcg.jsczt.cn/）获取招</w:t>
                      </w:r>
                      <w:r>
                        <w:rPr>
                          <w:rFonts w:hint="eastAsia" w:ascii="宋体" w:hAnsi="宋体" w:eastAsia="宋体" w:cs="宋体"/>
                          <w:color w:val="000000"/>
                          <w:sz w:val="24"/>
                          <w:szCs w:val="24"/>
                          <w:highlight w:val="none"/>
                        </w:rPr>
                        <w:t>标文件</w:t>
                      </w:r>
                      <w:r>
                        <w:rPr>
                          <w:rFonts w:hint="eastAsia" w:ascii="宋体" w:hAnsi="宋体" w:eastAsia="宋体" w:cs="宋体"/>
                          <w:sz w:val="24"/>
                          <w:szCs w:val="24"/>
                          <w:highlight w:val="none"/>
                        </w:rPr>
                        <w:t>，并于2025年</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24</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0分</w:t>
                      </w:r>
                      <w:r>
                        <w:rPr>
                          <w:rFonts w:hint="eastAsia" w:ascii="宋体" w:hAnsi="宋体" w:eastAsia="宋体" w:cs="宋体"/>
                          <w:bCs/>
                          <w:sz w:val="24"/>
                          <w:szCs w:val="24"/>
                          <w:highlight w:val="none"/>
                        </w:rPr>
                        <w:t>（北京时间）前递交投标文件</w:t>
                      </w:r>
                      <w:r>
                        <w:rPr>
                          <w:rFonts w:hint="eastAsia" w:ascii="宋体" w:hAnsi="宋体" w:eastAsia="宋体" w:cs="宋体"/>
                          <w:sz w:val="24"/>
                          <w:szCs w:val="24"/>
                          <w:highlight w:val="none"/>
                        </w:rPr>
                        <w:t>。</w:t>
                      </w:r>
                    </w:p>
                  </w:txbxContent>
                </v:textbox>
                <w10:wrap type="topAndBottom"/>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受[</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张家港市常阴沙现代农业示范园区管理委员会</w:t>
      </w:r>
      <w:r>
        <w:rPr>
          <w:rFonts w:hint="eastAsia" w:ascii="宋体" w:hAnsi="宋体" w:eastAsia="宋体" w:cs="宋体"/>
          <w:color w:val="000000" w:themeColor="text1"/>
          <w:sz w:val="24"/>
          <w:szCs w:val="24"/>
          <w:highlight w:val="none"/>
          <w14:textFill>
            <w14:solidFill>
              <w14:schemeClr w14:val="tx1"/>
            </w14:solidFill>
          </w14:textFill>
        </w:rPr>
        <w:t>]的委托，江苏仁合中惠工程咨询有限公司就[</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张家港市常阴沙现代农业示范园区2026-2027年度常阴沙镇级绿化养护服务</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JSZC-320582-RHZH-G2025-0093</w:t>
      </w:r>
      <w:r>
        <w:rPr>
          <w:rFonts w:hint="eastAsia" w:ascii="宋体" w:hAnsi="宋体" w:eastAsia="宋体" w:cs="宋体"/>
          <w:color w:val="000000" w:themeColor="text1"/>
          <w:sz w:val="24"/>
          <w:szCs w:val="24"/>
          <w:highlight w:val="none"/>
          <w14:textFill>
            <w14:solidFill>
              <w14:schemeClr w14:val="tx1"/>
            </w14:solidFill>
          </w14:textFill>
        </w:rPr>
        <w:t>]）项目</w:t>
      </w:r>
      <w:r>
        <w:rPr>
          <w:rFonts w:hint="eastAsia" w:ascii="宋体" w:hAnsi="宋体"/>
          <w:color w:val="000000" w:themeColor="text1"/>
          <w:sz w:val="24"/>
          <w:szCs w:val="24"/>
          <w:highlight w:val="none"/>
          <w14:textFill>
            <w14:solidFill>
              <w14:schemeClr w14:val="tx1"/>
            </w14:solidFill>
          </w14:textFill>
        </w:rPr>
        <w:t>进行公开招标采购，欢迎符合条件的供应商投标。</w:t>
      </w:r>
    </w:p>
    <w:p w14:paraId="3D79E74C">
      <w:pPr>
        <w:keepNext w:val="0"/>
        <w:keepLines w:val="0"/>
        <w:pageBreakBefore w:val="0"/>
        <w:widowControl/>
        <w:shd w:val="clear" w:color="auto"/>
        <w:kinsoku/>
        <w:wordWrap/>
        <w:overflowPunct/>
        <w:topLinePunct w:val="0"/>
        <w:autoSpaceDE/>
        <w:autoSpaceDN/>
        <w:bidi w:val="0"/>
        <w:adjustRightInd/>
        <w:snapToGrid/>
        <w:spacing w:line="360" w:lineRule="auto"/>
        <w:ind w:left="0"/>
        <w:textAlignment w:val="auto"/>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一、项目基本情况</w:t>
      </w:r>
    </w:p>
    <w:p w14:paraId="24E9A669">
      <w:pPr>
        <w:keepNext w:val="0"/>
        <w:keepLines w:val="0"/>
        <w:pageBreakBefore w:val="0"/>
        <w:widowControl/>
        <w:shd w:val="clear" w:color="auto"/>
        <w:kinsoku/>
        <w:wordWrap/>
        <w:overflowPunct/>
        <w:topLinePunct w:val="0"/>
        <w:autoSpaceDE/>
        <w:autoSpaceDN/>
        <w:bidi w:val="0"/>
        <w:adjustRightInd/>
        <w:snapToGrid/>
        <w:spacing w:line="360" w:lineRule="auto"/>
        <w:ind w:left="0" w:firstLine="555"/>
        <w:textAlignment w:val="auto"/>
        <w:rPr>
          <w:rFonts w:hint="eastAsia" w:ascii="宋体" w:hAnsi="宋体" w:eastAsia="宋体" w:cs="宋体"/>
          <w:color w:val="000000" w:themeColor="text1"/>
          <w:spacing w:val="8"/>
          <w:sz w:val="24"/>
          <w:szCs w:val="24"/>
          <w:highlight w:val="none"/>
          <w:lang w:eastAsia="zh-CN"/>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1.项目编号：</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JSZC-320582-RHZH-G2025-0093</w:t>
      </w:r>
    </w:p>
    <w:p w14:paraId="4FED3F9E">
      <w:pPr>
        <w:keepNext w:val="0"/>
        <w:keepLines w:val="0"/>
        <w:pageBreakBefore w:val="0"/>
        <w:widowControl/>
        <w:shd w:val="clear" w:color="auto"/>
        <w:kinsoku/>
        <w:wordWrap/>
        <w:overflowPunct/>
        <w:topLinePunct w:val="0"/>
        <w:autoSpaceDE/>
        <w:autoSpaceDN/>
        <w:bidi w:val="0"/>
        <w:adjustRightInd/>
        <w:snapToGrid/>
        <w:spacing w:line="360" w:lineRule="auto"/>
        <w:ind w:left="0" w:firstLine="555"/>
        <w:textAlignment w:val="auto"/>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2.项目名称：</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张家港市常阴沙现代农业示范园区2026-2027年度常阴沙镇级绿化养护服务</w:t>
      </w:r>
    </w:p>
    <w:p w14:paraId="75BA8C4D">
      <w:pPr>
        <w:keepNext w:val="0"/>
        <w:keepLines w:val="0"/>
        <w:pageBreakBefore w:val="0"/>
        <w:widowControl/>
        <w:shd w:val="clear" w:color="auto"/>
        <w:kinsoku/>
        <w:wordWrap/>
        <w:overflowPunct/>
        <w:topLinePunct w:val="0"/>
        <w:autoSpaceDE/>
        <w:autoSpaceDN/>
        <w:bidi w:val="0"/>
        <w:adjustRightInd/>
        <w:snapToGrid/>
        <w:spacing w:line="360" w:lineRule="auto"/>
        <w:ind w:left="0" w:firstLine="555"/>
        <w:textAlignment w:val="auto"/>
        <w:rPr>
          <w:rFonts w:ascii="Segoe UI" w:hAnsi="Segoe UI" w:eastAsia="Segoe UI" w:cs="Segoe UI"/>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3.预算金额：</w:t>
      </w:r>
      <w:bookmarkStart w:id="13" w:name="EB1a0e1eba70434d918dcf5b8e03079bcd"/>
      <w:r>
        <w:rPr>
          <w:rFonts w:hint="eastAsia" w:ascii="宋体" w:hAnsi="宋体" w:cs="宋体"/>
          <w:color w:val="000000" w:themeColor="text1"/>
          <w:spacing w:val="8"/>
          <w:sz w:val="24"/>
          <w:szCs w:val="24"/>
          <w:highlight w:val="none"/>
          <w:lang w:val="en-US" w:eastAsia="zh-CN"/>
          <w14:textFill>
            <w14:solidFill>
              <w14:schemeClr w14:val="tx1"/>
            </w14:solidFill>
          </w14:textFill>
        </w:rPr>
        <w:t>199万</w:t>
      </w:r>
      <w:r>
        <w:rPr>
          <w:rFonts w:ascii="宋体" w:hAnsi="宋体" w:cs="宋体"/>
          <w:color w:val="000000" w:themeColor="text1"/>
          <w:spacing w:val="8"/>
          <w:sz w:val="24"/>
          <w:szCs w:val="24"/>
          <w:highlight w:val="none"/>
          <w14:textFill>
            <w14:solidFill>
              <w14:schemeClr w14:val="tx1"/>
            </w14:solidFill>
          </w14:textFill>
        </w:rPr>
        <w:t>元</w:t>
      </w:r>
      <w:bookmarkEnd w:id="13"/>
    </w:p>
    <w:p w14:paraId="0BAE60E0">
      <w:pPr>
        <w:keepNext w:val="0"/>
        <w:keepLines w:val="0"/>
        <w:pageBreakBefore w:val="0"/>
        <w:widowControl/>
        <w:shd w:val="clear" w:color="auto"/>
        <w:kinsoku/>
        <w:wordWrap/>
        <w:overflowPunct/>
        <w:topLinePunct w:val="0"/>
        <w:autoSpaceDE/>
        <w:autoSpaceDN/>
        <w:bidi w:val="0"/>
        <w:adjustRightInd/>
        <w:snapToGrid/>
        <w:spacing w:line="360" w:lineRule="auto"/>
        <w:ind w:left="0" w:firstLine="555"/>
        <w:textAlignment w:val="auto"/>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lang w:val="en-US" w:eastAsia="zh-CN"/>
          <w14:textFill>
            <w14:solidFill>
              <w14:schemeClr w14:val="tx1"/>
            </w14:solidFill>
          </w14:textFill>
        </w:rPr>
        <w:t>4</w:t>
      </w:r>
      <w:r>
        <w:rPr>
          <w:rFonts w:hint="eastAsia" w:ascii="宋体" w:hAnsi="宋体" w:cs="宋体"/>
          <w:color w:val="000000" w:themeColor="text1"/>
          <w:spacing w:val="8"/>
          <w:sz w:val="24"/>
          <w:highlight w:val="none"/>
          <w14:textFill>
            <w14:solidFill>
              <w14:schemeClr w14:val="tx1"/>
            </w14:solidFill>
          </w14:textFill>
        </w:rPr>
        <w:t>.采购需求：</w:t>
      </w:r>
      <w:bookmarkStart w:id="14" w:name="EB07b3bccf5c0e4a39a123ff811f911745"/>
      <w:r>
        <w:rPr>
          <w:rFonts w:hint="eastAsia" w:ascii="宋体" w:hAnsi="宋体" w:cs="宋体"/>
          <w:color w:val="000000" w:themeColor="text1"/>
          <w:spacing w:val="8"/>
          <w:sz w:val="24"/>
          <w:highlight w:val="none"/>
          <w14:textFill>
            <w14:solidFill>
              <w14:schemeClr w14:val="tx1"/>
            </w14:solidFill>
          </w14:textFill>
        </w:rPr>
        <w:t>本次招标的标的是</w:t>
      </w:r>
      <w:bookmarkEnd w:id="14"/>
      <w:r>
        <w:rPr>
          <w:rFonts w:hint="eastAsia" w:ascii="宋体" w:hAnsi="宋体" w:cs="宋体"/>
          <w:color w:val="000000" w:themeColor="text1"/>
          <w:spacing w:val="8"/>
          <w:sz w:val="24"/>
          <w:highlight w:val="none"/>
          <w:lang w:eastAsia="zh-CN"/>
          <w14:textFill>
            <w14:solidFill>
              <w14:schemeClr w14:val="tx1"/>
            </w14:solidFill>
          </w14:textFill>
        </w:rPr>
        <w:t>张家港市常阴沙现代农业示范园区2026-2027年度常阴沙镇级绿化养护服务</w:t>
      </w:r>
      <w:r>
        <w:rPr>
          <w:rFonts w:hint="eastAsia" w:ascii="宋体" w:hAnsi="宋体" w:cs="宋体"/>
          <w:color w:val="000000" w:themeColor="text1"/>
          <w:spacing w:val="8"/>
          <w:sz w:val="24"/>
          <w:highlight w:val="none"/>
          <w:lang w:val="en-US" w:eastAsia="zh-CN"/>
          <w14:textFill>
            <w14:solidFill>
              <w14:schemeClr w14:val="tx1"/>
            </w14:solidFill>
          </w14:textFill>
        </w:rPr>
        <w:t>项目</w:t>
      </w:r>
      <w:r>
        <w:rPr>
          <w:rFonts w:hint="eastAsia" w:ascii="宋体" w:hAnsi="宋体" w:cs="宋体"/>
          <w:color w:val="000000" w:themeColor="text1"/>
          <w:spacing w:val="8"/>
          <w:sz w:val="24"/>
          <w:highlight w:val="none"/>
          <w:lang w:eastAsia="zh-CN"/>
          <w14:textFill>
            <w14:solidFill>
              <w14:schemeClr w14:val="tx1"/>
            </w14:solidFill>
          </w14:textFill>
        </w:rPr>
        <w:t>。</w:t>
      </w:r>
      <w:r>
        <w:rPr>
          <w:rFonts w:hint="eastAsia" w:ascii="宋体" w:hAnsi="宋体" w:cs="宋体"/>
          <w:color w:val="000000" w:themeColor="text1"/>
          <w:spacing w:val="8"/>
          <w:sz w:val="24"/>
          <w:highlight w:val="none"/>
          <w:lang w:val="en-US" w:eastAsia="zh-CN"/>
          <w14:textFill>
            <w14:solidFill>
              <w14:schemeClr w14:val="tx1"/>
            </w14:solidFill>
          </w14:textFill>
        </w:rPr>
        <w:t>服务范围为</w:t>
      </w:r>
      <w:r>
        <w:rPr>
          <w:rFonts w:hint="eastAsia" w:ascii="宋体" w:hAnsi="宋体" w:cs="宋体"/>
          <w:color w:val="000000" w:themeColor="text1"/>
          <w:spacing w:val="8"/>
          <w:sz w:val="24"/>
          <w:highlight w:val="none"/>
          <w:lang w:eastAsia="zh-CN"/>
          <w14:textFill>
            <w14:solidFill>
              <w14:schemeClr w14:val="tx1"/>
            </w14:solidFill>
          </w14:textFill>
        </w:rPr>
        <w:t>常阴沙现代农业示范</w:t>
      </w:r>
      <w:r>
        <w:rPr>
          <w:rFonts w:hint="eastAsia" w:ascii="宋体" w:hAnsi="宋体" w:cs="宋体"/>
          <w:color w:val="000000" w:themeColor="text1"/>
          <w:spacing w:val="8"/>
          <w:sz w:val="24"/>
          <w:highlight w:val="none"/>
          <w:lang w:val="en-US" w:eastAsia="zh-CN"/>
          <w14:textFill>
            <w14:solidFill>
              <w14:schemeClr w14:val="tx1"/>
            </w14:solidFill>
          </w14:textFill>
        </w:rPr>
        <w:t>园区范围内各主要道路、镇级公园节点等绿化养护服务，主要包括修剪、剥芽、病虫害防治、施肥、灌溉、抗旱、排涝、树穴切边、挑除杂草、轧草修边、草屑清除、保洁、清枯枝及死膀、枯死树处理、加工扶正、环境清理等</w:t>
      </w:r>
      <w:r>
        <w:rPr>
          <w:rFonts w:ascii="宋体" w:hAnsi="宋体" w:cs="宋体"/>
          <w:color w:val="000000" w:themeColor="text1"/>
          <w:sz w:val="24"/>
          <w:highlight w:val="none"/>
          <w14:textFill>
            <w14:solidFill>
              <w14:schemeClr w14:val="tx1"/>
            </w14:solidFill>
          </w14:textFill>
        </w:rPr>
        <w:t>（详见本招标文件第四章）</w:t>
      </w:r>
      <w:r>
        <w:rPr>
          <w:rFonts w:ascii="宋体" w:hAnsi="宋体" w:cs="宋体"/>
          <w:color w:val="000000" w:themeColor="text1"/>
          <w:spacing w:val="8"/>
          <w:sz w:val="24"/>
          <w:highlight w:val="none"/>
          <w14:textFill>
            <w14:solidFill>
              <w14:schemeClr w14:val="tx1"/>
            </w14:solidFill>
          </w14:textFill>
        </w:rPr>
        <w:t>。</w:t>
      </w:r>
    </w:p>
    <w:p w14:paraId="21F0FAFD">
      <w:pPr>
        <w:keepNext w:val="0"/>
        <w:keepLines w:val="0"/>
        <w:pageBreakBefore w:val="0"/>
        <w:widowControl/>
        <w:shd w:val="clear" w:color="auto"/>
        <w:kinsoku/>
        <w:wordWrap/>
        <w:overflowPunct/>
        <w:topLinePunct w:val="0"/>
        <w:autoSpaceDE/>
        <w:autoSpaceDN/>
        <w:bidi w:val="0"/>
        <w:adjustRightInd/>
        <w:snapToGrid/>
        <w:spacing w:line="360" w:lineRule="auto"/>
        <w:ind w:left="0" w:firstLine="555"/>
        <w:textAlignment w:val="auto"/>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lang w:val="en-US" w:eastAsia="zh-CN"/>
          <w14:textFill>
            <w14:solidFill>
              <w14:schemeClr w14:val="tx1"/>
            </w14:solidFill>
          </w14:textFill>
        </w:rPr>
        <w:t>5</w:t>
      </w:r>
      <w:r>
        <w:rPr>
          <w:rFonts w:hint="eastAsia" w:ascii="宋体" w:hAnsi="宋体" w:cs="宋体"/>
          <w:color w:val="000000" w:themeColor="text1"/>
          <w:spacing w:val="8"/>
          <w:sz w:val="24"/>
          <w:highlight w:val="none"/>
          <w14:textFill>
            <w14:solidFill>
              <w14:schemeClr w14:val="tx1"/>
            </w14:solidFill>
          </w14:textFill>
        </w:rPr>
        <w:t>.</w:t>
      </w:r>
      <w:r>
        <w:rPr>
          <w:rFonts w:hint="eastAsia" w:ascii="宋体" w:hAnsi="宋体" w:cs="宋体"/>
          <w:color w:val="000000" w:themeColor="text1"/>
          <w:spacing w:val="8"/>
          <w:sz w:val="24"/>
          <w:highlight w:val="none"/>
          <w:lang w:val="en-US" w:eastAsia="zh-CN"/>
          <w14:textFill>
            <w14:solidFill>
              <w14:schemeClr w14:val="tx1"/>
            </w14:solidFill>
          </w14:textFill>
        </w:rPr>
        <w:t>服务</w:t>
      </w:r>
      <w:r>
        <w:rPr>
          <w:rFonts w:hint="eastAsia" w:ascii="宋体" w:hAnsi="宋体" w:cs="宋体"/>
          <w:color w:val="000000" w:themeColor="text1"/>
          <w:spacing w:val="8"/>
          <w:sz w:val="24"/>
          <w:highlight w:val="none"/>
          <w14:textFill>
            <w14:solidFill>
              <w14:schemeClr w14:val="tx1"/>
            </w14:solidFill>
          </w14:textFill>
        </w:rPr>
        <w:t>期限：</w:t>
      </w:r>
      <w:r>
        <w:rPr>
          <w:rFonts w:hint="eastAsia" w:ascii="宋体" w:hAnsi="宋体" w:cs="宋体"/>
          <w:color w:val="000000" w:themeColor="text1"/>
          <w:spacing w:val="8"/>
          <w:sz w:val="24"/>
          <w:highlight w:val="none"/>
          <w:lang w:val="en-US" w:eastAsia="zh-CN"/>
          <w14:textFill>
            <w14:solidFill>
              <w14:schemeClr w14:val="tx1"/>
            </w14:solidFill>
          </w14:textFill>
        </w:rPr>
        <w:t>24个月</w:t>
      </w:r>
    </w:p>
    <w:p w14:paraId="63FED9AB">
      <w:pPr>
        <w:keepNext w:val="0"/>
        <w:keepLines w:val="0"/>
        <w:pageBreakBefore w:val="0"/>
        <w:widowControl/>
        <w:shd w:val="clear" w:color="auto"/>
        <w:kinsoku/>
        <w:wordWrap/>
        <w:overflowPunct/>
        <w:topLinePunct w:val="0"/>
        <w:autoSpaceDE/>
        <w:autoSpaceDN/>
        <w:bidi w:val="0"/>
        <w:adjustRightInd/>
        <w:snapToGrid/>
        <w:spacing w:line="360" w:lineRule="auto"/>
        <w:ind w:left="0"/>
        <w:textAlignment w:val="auto"/>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二、申请人的资格要求：</w:t>
      </w:r>
    </w:p>
    <w:p w14:paraId="1B06A28D">
      <w:pPr>
        <w:keepNext w:val="0"/>
        <w:keepLines w:val="0"/>
        <w:pageBreakBefore w:val="0"/>
        <w:suppressLineNumbers w:val="0"/>
        <w:shd w:val="clear"/>
        <w:kinsoku/>
        <w:wordWrap/>
        <w:overflowPunct/>
        <w:topLinePunct w:val="0"/>
        <w:autoSpaceDE/>
        <w:autoSpaceDN/>
        <w:bidi w:val="0"/>
        <w:adjustRightInd/>
        <w:snapToGrid/>
        <w:spacing w:before="0" w:after="0" w:line="360" w:lineRule="auto"/>
        <w:ind w:left="0" w:firstLine="480"/>
        <w:contextualSpacing/>
        <w:jc w:val="left"/>
        <w:textAlignment w:val="auto"/>
        <w:rPr>
          <w:rFonts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1.满足《中华人民共和国政府采购法》第二十二条规定，并提供下列材料：</w:t>
      </w:r>
    </w:p>
    <w:p w14:paraId="04AFEB38">
      <w:pPr>
        <w:pStyle w:val="33"/>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FFFFFF"/>
          <w14:textFill>
            <w14:solidFill>
              <w14:schemeClr w14:val="tx1"/>
            </w14:solidFill>
          </w14:textFill>
        </w:rPr>
        <w:t>1.1具有独立承担民事责任的能力；</w:t>
      </w:r>
    </w:p>
    <w:p w14:paraId="69863C46">
      <w:pPr>
        <w:pStyle w:val="33"/>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FFFFFF"/>
          <w14:textFill>
            <w14:solidFill>
              <w14:schemeClr w14:val="tx1"/>
            </w14:solidFill>
          </w14:textFill>
        </w:rPr>
        <w:t>1.2具有良好的商业信誉和健全的财务会计制度；</w:t>
      </w:r>
    </w:p>
    <w:p w14:paraId="301575FD">
      <w:pPr>
        <w:pStyle w:val="33"/>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FFFFFF"/>
          <w14:textFill>
            <w14:solidFill>
              <w14:schemeClr w14:val="tx1"/>
            </w14:solidFill>
          </w14:textFill>
        </w:rPr>
        <w:t>1.3具有履行合同所必需的设备和专业技术能力；</w:t>
      </w:r>
    </w:p>
    <w:p w14:paraId="33718965">
      <w:pPr>
        <w:pStyle w:val="33"/>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FFFFFF"/>
          <w14:textFill>
            <w14:solidFill>
              <w14:schemeClr w14:val="tx1"/>
            </w14:solidFill>
          </w14:textFill>
        </w:rPr>
        <w:t>1.4有依法缴纳税收和社会保障资金的良好记录；</w:t>
      </w:r>
    </w:p>
    <w:p w14:paraId="25984D09">
      <w:pPr>
        <w:pStyle w:val="33"/>
        <w:keepNext w:val="0"/>
        <w:keepLines w:val="0"/>
        <w:pageBreakBefore w:val="0"/>
        <w:shd w:val="clear"/>
        <w:kinsoku/>
        <w:wordWrap/>
        <w:overflowPunct/>
        <w:topLinePunct w:val="0"/>
        <w:autoSpaceDE/>
        <w:autoSpaceDN/>
        <w:bidi w:val="0"/>
        <w:adjustRightInd/>
        <w:snapToGrid/>
        <w:spacing w:before="0" w:beforeAutospacing="0" w:after="0" w:afterAutospacing="0" w:line="360" w:lineRule="auto"/>
        <w:ind w:left="0" w:firstLine="480"/>
        <w:jc w:val="both"/>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FFFFFF"/>
          <w14:textFill>
            <w14:solidFill>
              <w14:schemeClr w14:val="tx1"/>
            </w14:solidFill>
          </w14:textFill>
        </w:rPr>
        <w:t>1.5参加政府采购活动前三年内，在经营活动中没有重大违法记录；</w:t>
      </w:r>
    </w:p>
    <w:p w14:paraId="6DE436D6">
      <w:pPr>
        <w:keepNext w:val="0"/>
        <w:keepLines w:val="0"/>
        <w:pageBreakBefore w:val="0"/>
        <w:suppressLineNumbers w:val="0"/>
        <w:shd w:val="clear"/>
        <w:kinsoku/>
        <w:wordWrap/>
        <w:overflowPunct/>
        <w:topLinePunct w:val="0"/>
        <w:autoSpaceDE/>
        <w:autoSpaceDN/>
        <w:bidi w:val="0"/>
        <w:adjustRightInd/>
        <w:snapToGrid/>
        <w:spacing w:before="0" w:after="0" w:line="360" w:lineRule="auto"/>
        <w:ind w:left="0" w:firstLine="480"/>
        <w:contextualSpacing/>
        <w:jc w:val="left"/>
        <w:textAlignment w:val="auto"/>
        <w:rPr>
          <w:rFonts w:ascii="宋体" w:hAnsi="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FFFFFF"/>
          <w14:textFill>
            <w14:solidFill>
              <w14:schemeClr w14:val="tx1"/>
            </w14:solidFill>
          </w14:textFill>
        </w:rPr>
        <w:t>1.6法律、行政法规规定的其他条件。</w:t>
      </w:r>
    </w:p>
    <w:p w14:paraId="7287A353">
      <w:pPr>
        <w:keepNext w:val="0"/>
        <w:keepLines w:val="0"/>
        <w:pageBreakBefore w:val="0"/>
        <w:numPr>
          <w:ilvl w:val="0"/>
          <w:numId w:val="0"/>
        </w:numPr>
        <w:suppressLineNumbers w:val="0"/>
        <w:shd w:val="clear"/>
        <w:kinsoku/>
        <w:wordWrap/>
        <w:overflowPunct/>
        <w:topLinePunct w:val="0"/>
        <w:autoSpaceDE/>
        <w:autoSpaceDN/>
        <w:bidi w:val="0"/>
        <w:adjustRightInd/>
        <w:snapToGrid/>
        <w:spacing w:before="0" w:after="0" w:line="360" w:lineRule="auto"/>
        <w:ind w:left="0" w:firstLine="480"/>
        <w:contextualSpacing/>
        <w:jc w:val="left"/>
        <w:textAlignment w:val="auto"/>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2.</w:t>
      </w:r>
      <w:r>
        <w:rPr>
          <w:rFonts w:hint="eastAsia" w:ascii="宋体" w:hAnsi="宋体"/>
          <w:b w:val="0"/>
          <w:bCs w:val="0"/>
          <w:color w:val="000000" w:themeColor="text1"/>
          <w:sz w:val="24"/>
          <w:szCs w:val="24"/>
          <w:highlight w:val="none"/>
          <w14:textFill>
            <w14:solidFill>
              <w14:schemeClr w14:val="tx1"/>
            </w14:solidFill>
          </w14:textFill>
        </w:rPr>
        <w:t>落实政府采购政策需满足的资格要求：</w:t>
      </w:r>
    </w:p>
    <w:p w14:paraId="007885B7">
      <w:pPr>
        <w:keepNext w:val="0"/>
        <w:keepLines w:val="0"/>
        <w:pageBreakBefore w:val="0"/>
        <w:widowControl/>
        <w:suppressLineNumbers w:val="0"/>
        <w:shd w:val="clea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2.1本项目专门面向中小企业采购。</w:t>
      </w:r>
    </w:p>
    <w:p w14:paraId="7D26D24F">
      <w:pPr>
        <w:keepNext w:val="0"/>
        <w:keepLines w:val="0"/>
        <w:pageBreakBefore w:val="0"/>
        <w:widowControl/>
        <w:suppressLineNumbers w:val="0"/>
        <w:shd w:val="clear"/>
        <w:kinsoku/>
        <w:wordWrap/>
        <w:overflowPunct/>
        <w:topLinePunct w:val="0"/>
        <w:autoSpaceDE/>
        <w:autoSpaceDN/>
        <w:bidi w:val="0"/>
        <w:adjustRightInd/>
        <w:snapToGrid/>
        <w:spacing w:line="360" w:lineRule="auto"/>
        <w:ind w:left="0" w:firstLine="48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注：（1）根据《关于促进残疾人就业政府采购政策的通知》（财库〔2017〕141号）的通知规定，在政府采购活动中，残疾人福利性单位视同小型、微型企业。</w:t>
      </w:r>
    </w:p>
    <w:p w14:paraId="3FD0A12E">
      <w:pPr>
        <w:keepNext w:val="0"/>
        <w:keepLines w:val="0"/>
        <w:pageBreakBefore w:val="0"/>
        <w:numPr>
          <w:ilvl w:val="0"/>
          <w:numId w:val="1"/>
        </w:numPr>
        <w:suppressLineNumbers w:val="0"/>
        <w:shd w:val="clear"/>
        <w:kinsoku/>
        <w:wordWrap/>
        <w:overflowPunct/>
        <w:topLinePunct w:val="0"/>
        <w:autoSpaceDE/>
        <w:autoSpaceDN/>
        <w:bidi w:val="0"/>
        <w:adjustRightInd/>
        <w:snapToGrid/>
        <w:spacing w:before="0" w:after="0" w:line="360" w:lineRule="auto"/>
        <w:ind w:left="0"/>
        <w:contextualSpacing/>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根据《关于政府采购支持监狱企业发展有关问题的通知》（财库〔2014〕68号）的通知规定，在政府采购活动中，监狱企业视同小型、微型企业。</w:t>
      </w:r>
    </w:p>
    <w:p w14:paraId="58574697">
      <w:pPr>
        <w:keepNext w:val="0"/>
        <w:keepLines w:val="0"/>
        <w:pageBreakBefore w:val="0"/>
        <w:suppressLineNumbers w:val="0"/>
        <w:shd w:val="clear"/>
        <w:kinsoku/>
        <w:wordWrap/>
        <w:overflowPunct/>
        <w:topLinePunct w:val="0"/>
        <w:autoSpaceDE/>
        <w:autoSpaceDN/>
        <w:bidi w:val="0"/>
        <w:adjustRightInd/>
        <w:snapToGrid/>
        <w:spacing w:before="0" w:after="0" w:line="360" w:lineRule="auto"/>
        <w:ind w:left="0" w:firstLine="480"/>
        <w:contextualSpacing/>
        <w:jc w:val="left"/>
        <w:textAlignment w:val="auto"/>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3.</w:t>
      </w:r>
      <w:r>
        <w:rPr>
          <w:rFonts w:hint="eastAsia" w:ascii="宋体" w:hAnsi="宋体"/>
          <w:b w:val="0"/>
          <w:bCs w:val="0"/>
          <w:color w:val="000000" w:themeColor="text1"/>
          <w:sz w:val="24"/>
          <w:szCs w:val="24"/>
          <w:highlight w:val="none"/>
          <w14:textFill>
            <w14:solidFill>
              <w14:schemeClr w14:val="tx1"/>
            </w14:solidFill>
          </w14:textFill>
        </w:rPr>
        <w:t>本项目的特定资格要求</w:t>
      </w:r>
      <w:r>
        <w:rPr>
          <w:rFonts w:hint="eastAsia" w:ascii="宋体" w:hAnsi="宋体"/>
          <w:b w:val="0"/>
          <w:bCs w:val="0"/>
          <w:color w:val="000000" w:themeColor="text1"/>
          <w:sz w:val="24"/>
          <w:szCs w:val="24"/>
          <w:highlight w:val="none"/>
          <w:lang w:eastAsia="zh-CN"/>
          <w14:textFill>
            <w14:solidFill>
              <w14:schemeClr w14:val="tx1"/>
            </w14:solidFill>
          </w14:textFill>
        </w:rPr>
        <w:t>：</w:t>
      </w:r>
    </w:p>
    <w:p w14:paraId="7A14D46E">
      <w:pPr>
        <w:pStyle w:val="568"/>
        <w:keepNext w:val="0"/>
        <w:keepLines w:val="0"/>
        <w:pageBreakBefore w:val="0"/>
        <w:shd w:val="clear"/>
        <w:kinsoku/>
        <w:wordWrap/>
        <w:overflowPunct/>
        <w:topLinePunct w:val="0"/>
        <w:autoSpaceDE/>
        <w:autoSpaceDN/>
        <w:bidi w:val="0"/>
        <w:adjustRightInd/>
        <w:snapToGrid/>
        <w:spacing w:line="360" w:lineRule="auto"/>
        <w:ind w:left="0" w:firstLine="500"/>
        <w:textAlignment w:val="auto"/>
        <w:outlineLvl w:val="9"/>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Style w:val="38"/>
          <w:rFonts w:hint="eastAsia" w:ascii="宋体" w:hAnsi="宋体" w:eastAsia="宋体" w:cs="宋体"/>
          <w:b w:val="0"/>
          <w:color w:val="000000" w:themeColor="text1"/>
          <w:spacing w:val="7"/>
          <w:sz w:val="24"/>
          <w:highlight w:val="none"/>
          <w:lang w:val="en-US" w:eastAsia="zh-CN"/>
          <w14:textFill>
            <w14:solidFill>
              <w14:schemeClr w14:val="tx1"/>
            </w14:solidFill>
          </w14:textFill>
        </w:rPr>
        <w:t>无</w:t>
      </w:r>
    </w:p>
    <w:p w14:paraId="3B64394E">
      <w:pPr>
        <w:pStyle w:val="44"/>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4.</w:t>
      </w:r>
      <w:r>
        <w:rPr>
          <w:rFonts w:hint="eastAsia" w:ascii="宋体" w:hAnsi="宋体" w:eastAsia="宋体" w:cs="宋体"/>
          <w:i w:val="0"/>
          <w:iCs w:val="0"/>
          <w:color w:val="000000" w:themeColor="text1"/>
          <w:sz w:val="24"/>
          <w:szCs w:val="24"/>
          <w:highlight w:val="none"/>
          <w:u w:val="none"/>
          <w14:textFill>
            <w14:solidFill>
              <w14:schemeClr w14:val="tx1"/>
            </w14:solidFill>
          </w14:textFill>
        </w:rPr>
        <w:t xml:space="preserve">本项目不接受联合体投标。 </w:t>
      </w:r>
    </w:p>
    <w:p w14:paraId="6B7B2030">
      <w:pPr>
        <w:pStyle w:val="44"/>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i w:val="0"/>
          <w:iCs/>
          <w:color w:val="000000" w:themeColor="text1"/>
          <w:sz w:val="24"/>
          <w:szCs w:val="24"/>
          <w:highlight w:val="none"/>
          <w:u w:val="none"/>
          <w14:textFill>
            <w14:solidFill>
              <w14:schemeClr w14:val="tx1"/>
            </w14:solidFill>
          </w14:textFill>
        </w:rPr>
      </w:pPr>
      <w:r>
        <w:rPr>
          <w:rFonts w:hint="eastAsia" w:cs="宋体"/>
          <w:bCs w:val="0"/>
          <w:i w:val="0"/>
          <w:iCs/>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bCs w:val="0"/>
          <w:i w:val="0"/>
          <w:iCs/>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bCs w:val="0"/>
          <w:i w:val="0"/>
          <w:iCs/>
          <w:color w:val="000000" w:themeColor="text1"/>
          <w:sz w:val="24"/>
          <w:szCs w:val="24"/>
          <w:highlight w:val="none"/>
          <w:u w:val="none"/>
          <w14:textFill>
            <w14:solidFill>
              <w14:schemeClr w14:val="tx1"/>
            </w14:solidFill>
          </w14:textFill>
        </w:rPr>
        <w:t>拒绝</w:t>
      </w:r>
      <w:r>
        <w:rPr>
          <w:rFonts w:hint="eastAsia" w:ascii="宋体" w:hAnsi="宋体" w:eastAsia="宋体" w:cs="宋体"/>
          <w:i w:val="0"/>
          <w:iCs/>
          <w:color w:val="000000" w:themeColor="text1"/>
          <w:sz w:val="24"/>
          <w:szCs w:val="24"/>
          <w:highlight w:val="none"/>
          <w:u w:val="none"/>
          <w14:textFill>
            <w14:solidFill>
              <w14:schemeClr w14:val="tx1"/>
            </w14:solidFill>
          </w14:textFill>
        </w:rPr>
        <w:t>下述供应商参加本次</w:t>
      </w:r>
      <w:r>
        <w:rPr>
          <w:rFonts w:hint="eastAsia" w:ascii="宋体" w:hAnsi="宋体" w:eastAsia="宋体" w:cs="宋体"/>
          <w:i w:val="0"/>
          <w:iCs/>
          <w:color w:val="000000" w:themeColor="text1"/>
          <w:sz w:val="24"/>
          <w:szCs w:val="24"/>
          <w:highlight w:val="none"/>
          <w:u w:val="none"/>
          <w:lang w:val="en-US" w:eastAsia="zh-CN"/>
          <w14:textFill>
            <w14:solidFill>
              <w14:schemeClr w14:val="tx1"/>
            </w14:solidFill>
          </w14:textFill>
        </w:rPr>
        <w:t>招投标</w:t>
      </w:r>
      <w:r>
        <w:rPr>
          <w:rFonts w:hint="eastAsia" w:ascii="宋体" w:hAnsi="宋体" w:eastAsia="宋体" w:cs="宋体"/>
          <w:i w:val="0"/>
          <w:iCs/>
          <w:color w:val="000000" w:themeColor="text1"/>
          <w:sz w:val="24"/>
          <w:szCs w:val="24"/>
          <w:highlight w:val="none"/>
          <w:u w:val="none"/>
          <w14:textFill>
            <w14:solidFill>
              <w14:schemeClr w14:val="tx1"/>
            </w14:solidFill>
          </w14:textFill>
        </w:rPr>
        <w:t>活动：</w:t>
      </w:r>
    </w:p>
    <w:p w14:paraId="62614B5E">
      <w:pPr>
        <w:pStyle w:val="44"/>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cs="宋体"/>
          <w:i w:val="0"/>
          <w:iCs w:val="0"/>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i w:val="0"/>
          <w:iCs w:val="0"/>
          <w:color w:val="000000" w:themeColor="text1"/>
          <w:sz w:val="24"/>
          <w:szCs w:val="24"/>
          <w:highlight w:val="none"/>
          <w:u w:val="none"/>
          <w14:textFill>
            <w14:solidFill>
              <w14:schemeClr w14:val="tx1"/>
            </w14:solidFill>
          </w14:textFill>
        </w:rPr>
        <w:t>单位负责人为同一人或者存在直接控股、管理关系的不同供应商，不得参加同一合同下的政府采购活动；</w:t>
      </w:r>
    </w:p>
    <w:p w14:paraId="46A18EBF">
      <w:pPr>
        <w:pStyle w:val="44"/>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firstLine="480"/>
        <w:jc w:val="left"/>
        <w:textAlignment w:val="auto"/>
        <w:outlineLvl w:val="9"/>
        <w:rPr>
          <w:color w:val="000000" w:themeColor="text1"/>
          <w:highlight w:val="none"/>
          <w14:textFill>
            <w14:solidFill>
              <w14:schemeClr w14:val="tx1"/>
            </w14:solidFill>
          </w14:textFill>
        </w:rPr>
      </w:pPr>
      <w:r>
        <w:rPr>
          <w:rFonts w:hint="eastAsia" w:cs="宋体"/>
          <w:i w:val="0"/>
          <w:iCs w:val="0"/>
          <w:color w:val="000000" w:themeColor="text1"/>
          <w:sz w:val="24"/>
          <w:szCs w:val="24"/>
          <w:highlight w:val="none"/>
          <w:u w:val="none"/>
          <w:lang w:val="en-US" w:eastAsia="zh-CN"/>
          <w14:textFill>
            <w14:solidFill>
              <w14:schemeClr w14:val="tx1"/>
            </w14:solidFill>
          </w14:textFill>
        </w:rPr>
        <w:t>5</w:t>
      </w: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.2</w:t>
      </w:r>
      <w:r>
        <w:rPr>
          <w:rFonts w:hint="eastAsia" w:ascii="宋体" w:hAnsi="宋体" w:eastAsia="宋体" w:cs="宋体"/>
          <w:i w:val="0"/>
          <w:iCs w:val="0"/>
          <w:color w:val="000000" w:themeColor="text1"/>
          <w:sz w:val="24"/>
          <w:szCs w:val="24"/>
          <w:highlight w:val="none"/>
          <w:u w:val="none"/>
          <w14:textFill>
            <w14:solidFill>
              <w14:schemeClr w14:val="tx1"/>
            </w14:solidFill>
          </w14:textFill>
        </w:rPr>
        <w:t>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p>
    <w:p w14:paraId="75EA699B">
      <w:pPr>
        <w:keepNext w:val="0"/>
        <w:keepLines w:val="0"/>
        <w:pageBreakBefore w:val="0"/>
        <w:widowControl/>
        <w:shd w:val="clear" w:color="auto"/>
        <w:kinsoku/>
        <w:wordWrap/>
        <w:overflowPunct/>
        <w:topLinePunct w:val="0"/>
        <w:autoSpaceDE/>
        <w:autoSpaceDN/>
        <w:bidi w:val="0"/>
        <w:adjustRightInd/>
        <w:snapToGrid/>
        <w:spacing w:line="360" w:lineRule="auto"/>
        <w:ind w:left="0"/>
        <w:textAlignment w:val="auto"/>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三、获取招标文件</w:t>
      </w:r>
    </w:p>
    <w:p w14:paraId="1C6D365E">
      <w:pPr>
        <w:keepNext w:val="0"/>
        <w:keepLines w:val="0"/>
        <w:pageBreakBefore w:val="0"/>
        <w:widowControl/>
        <w:suppressLineNumbers w:val="0"/>
        <w:shd w:val="clear"/>
        <w:kinsoku/>
        <w:wordWrap/>
        <w:overflowPunct/>
        <w:topLinePunct w:val="0"/>
        <w:autoSpaceDE/>
        <w:autoSpaceDN/>
        <w:bidi w:val="0"/>
        <w:adjustRightInd/>
        <w:snapToGrid/>
        <w:spacing w:line="360" w:lineRule="auto"/>
        <w:ind w:left="0" w:firstLine="480"/>
        <w:jc w:val="left"/>
        <w:textAlignment w:val="auto"/>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2025</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日至</w:t>
      </w:r>
      <w:r>
        <w:rPr>
          <w:rFonts w:hint="eastAsia" w:ascii="宋体" w:hAnsi="宋体" w:eastAsia="宋体" w:cs="宋体"/>
          <w:color w:val="000000" w:themeColor="text1"/>
          <w:sz w:val="24"/>
          <w:szCs w:val="24"/>
          <w:highlight w:val="none"/>
          <w:lang w:val="en-US" w:eastAsia="zh-CN"/>
          <w14:textFill>
            <w14:solidFill>
              <w14:schemeClr w14:val="tx1"/>
            </w14:solidFill>
          </w14:textFill>
        </w:rPr>
        <w:t>2025</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日</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 </w:t>
      </w:r>
    </w:p>
    <w:p w14:paraId="46E2D2F3">
      <w:pPr>
        <w:keepNext w:val="0"/>
        <w:keepLines w:val="0"/>
        <w:pageBreakBefore w:val="0"/>
        <w:widowControl/>
        <w:shd w:val="clear"/>
        <w:kinsoku/>
        <w:wordWrap/>
        <w:overflowPunct/>
        <w:topLinePunct w:val="0"/>
        <w:autoSpaceDE/>
        <w:autoSpaceDN/>
        <w:bidi w:val="0"/>
        <w:adjustRightInd/>
        <w:snapToGrid/>
        <w:spacing w:line="360" w:lineRule="auto"/>
        <w:ind w:left="0" w:firstLine="480"/>
        <w:jc w:val="left"/>
        <w:textAlignment w:val="auto"/>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方式：</w:t>
      </w:r>
      <w:r>
        <w:rPr>
          <w:rFonts w:hint="eastAsia" w:ascii="宋体" w:hAnsi="宋体" w:eastAsia="宋体" w:cs="宋体"/>
          <w:color w:val="000000" w:themeColor="text1"/>
          <w:sz w:val="24"/>
          <w:szCs w:val="24"/>
          <w:highlight w:val="none"/>
          <w14:textFill>
            <w14:solidFill>
              <w14:schemeClr w14:val="tx1"/>
            </w14:solidFill>
          </w14:textFill>
        </w:rPr>
        <w:t>“苏采云政府采购一体化平台”自行免费下载招标文件</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本项目不接受现场获取招标文件。</w:t>
      </w:r>
      <w:r>
        <w:rPr>
          <w:rFonts w:hint="eastAsia" w:ascii="宋体" w:hAnsi="宋体" w:cs="宋体"/>
          <w:color w:val="000000" w:themeColor="text1"/>
          <w:sz w:val="24"/>
          <w:szCs w:val="24"/>
          <w:highlight w:val="none"/>
          <w:lang w:bidi="ar"/>
          <w14:textFill>
            <w14:solidFill>
              <w14:schemeClr w14:val="tx1"/>
            </w14:solidFill>
          </w14:textFill>
        </w:rPr>
        <w:t xml:space="preserve"> </w:t>
      </w:r>
    </w:p>
    <w:p w14:paraId="3172D09D">
      <w:pPr>
        <w:keepNext w:val="0"/>
        <w:keepLines w:val="0"/>
        <w:pageBreakBefore w:val="0"/>
        <w:widowControl/>
        <w:shd w:val="clear" w:color="auto"/>
        <w:kinsoku/>
        <w:wordWrap/>
        <w:overflowPunct/>
        <w:topLinePunct w:val="0"/>
        <w:autoSpaceDE/>
        <w:autoSpaceDN/>
        <w:bidi w:val="0"/>
        <w:adjustRightInd/>
        <w:snapToGrid/>
        <w:spacing w:line="360" w:lineRule="auto"/>
        <w:ind w:left="0"/>
        <w:textAlignment w:val="auto"/>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四、提交投标文件截止时间、开标时间和地点</w:t>
      </w:r>
    </w:p>
    <w:p w14:paraId="654E11EE">
      <w:pPr>
        <w:keepNext w:val="0"/>
        <w:keepLines w:val="0"/>
        <w:pageBreakBefore w:val="0"/>
        <w:widowControl/>
        <w:shd w:val="clear"/>
        <w:kinsoku/>
        <w:wordWrap/>
        <w:overflowPunct/>
        <w:topLinePunct w:val="0"/>
        <w:autoSpaceDE/>
        <w:autoSpaceDN/>
        <w:bidi w:val="0"/>
        <w:adjustRightInd/>
        <w:snapToGrid/>
        <w:spacing w:line="360" w:lineRule="auto"/>
        <w:ind w:left="0" w:firstLine="480"/>
        <w:jc w:val="left"/>
        <w:textAlignment w:val="auto"/>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1.时间：2025年</w:t>
      </w:r>
      <w:r>
        <w:rPr>
          <w:rFonts w:hint="eastAsia" w:ascii="宋体" w:hAnsi="宋体" w:cs="宋体"/>
          <w:color w:val="000000" w:themeColor="text1"/>
          <w:sz w:val="24"/>
          <w:szCs w:val="24"/>
          <w:highlight w:val="none"/>
          <w:lang w:val="en-US" w:eastAsia="zh-CN" w:bidi="ar"/>
          <w14:textFill>
            <w14:solidFill>
              <w14:schemeClr w14:val="tx1"/>
            </w14:solidFill>
          </w14:textFill>
        </w:rPr>
        <w:t>12</w:t>
      </w:r>
      <w:r>
        <w:rPr>
          <w:rFonts w:hint="eastAsia" w:ascii="宋体" w:hAnsi="宋体" w:cs="宋体"/>
          <w:color w:val="000000" w:themeColor="text1"/>
          <w:sz w:val="24"/>
          <w:szCs w:val="24"/>
          <w:highlight w:val="none"/>
          <w:lang w:bidi="ar"/>
          <w14:textFill>
            <w14:solidFill>
              <w14:schemeClr w14:val="tx1"/>
            </w14:solidFill>
          </w14:textFill>
        </w:rPr>
        <w:t>月</w:t>
      </w:r>
      <w:r>
        <w:rPr>
          <w:rFonts w:hint="eastAsia" w:ascii="宋体" w:hAnsi="宋体" w:cs="宋体"/>
          <w:color w:val="000000" w:themeColor="text1"/>
          <w:sz w:val="24"/>
          <w:szCs w:val="24"/>
          <w:highlight w:val="none"/>
          <w:lang w:val="en-US" w:eastAsia="zh-CN" w:bidi="ar"/>
          <w14:textFill>
            <w14:solidFill>
              <w14:schemeClr w14:val="tx1"/>
            </w14:solidFill>
          </w14:textFill>
        </w:rPr>
        <w:t>24</w:t>
      </w:r>
      <w:r>
        <w:rPr>
          <w:rFonts w:hint="eastAsia" w:ascii="宋体" w:hAnsi="宋体" w:cs="宋体"/>
          <w:color w:val="000000" w:themeColor="text1"/>
          <w:sz w:val="24"/>
          <w:szCs w:val="24"/>
          <w:highlight w:val="none"/>
          <w:lang w:bidi="ar"/>
          <w14:textFill>
            <w14:solidFill>
              <w14:schemeClr w14:val="tx1"/>
            </w14:solidFill>
          </w14:textFill>
        </w:rPr>
        <w:t>日</w:t>
      </w:r>
      <w:r>
        <w:rPr>
          <w:rFonts w:hint="eastAsia" w:ascii="宋体" w:hAnsi="宋体" w:cs="宋体"/>
          <w:color w:val="000000" w:themeColor="text1"/>
          <w:sz w:val="24"/>
          <w:szCs w:val="24"/>
          <w:highlight w:val="none"/>
          <w:lang w:val="en-US" w:eastAsia="zh-CN" w:bidi="ar"/>
          <w14:textFill>
            <w14:solidFill>
              <w14:schemeClr w14:val="tx1"/>
            </w14:solidFill>
          </w14:textFill>
        </w:rPr>
        <w:t>13</w:t>
      </w:r>
      <w:r>
        <w:rPr>
          <w:rFonts w:hint="eastAsia" w:ascii="宋体" w:hAnsi="宋体" w:cs="宋体"/>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lang w:val="en-US" w:eastAsia="zh-CN" w:bidi="ar"/>
          <w14:textFill>
            <w14:solidFill>
              <w14:schemeClr w14:val="tx1"/>
            </w14:solidFill>
          </w14:textFill>
        </w:rPr>
        <w:t>3</w:t>
      </w:r>
      <w:r>
        <w:rPr>
          <w:rFonts w:hint="eastAsia" w:ascii="宋体" w:hAnsi="宋体" w:cs="宋体"/>
          <w:color w:val="000000" w:themeColor="text1"/>
          <w:sz w:val="24"/>
          <w:szCs w:val="24"/>
          <w:highlight w:val="none"/>
          <w:lang w:bidi="ar"/>
          <w14:textFill>
            <w14:solidFill>
              <w14:schemeClr w14:val="tx1"/>
            </w14:solidFill>
          </w14:textFill>
        </w:rPr>
        <w:t xml:space="preserve">0（北京时间） </w:t>
      </w:r>
    </w:p>
    <w:p w14:paraId="02DA1DFF">
      <w:pPr>
        <w:keepNext w:val="0"/>
        <w:keepLines w:val="0"/>
        <w:pageBreakBefore w:val="0"/>
        <w:widowControl/>
        <w:shd w:val="clear"/>
        <w:kinsoku/>
        <w:wordWrap/>
        <w:overflowPunct/>
        <w:topLinePunct w:val="0"/>
        <w:autoSpaceDE/>
        <w:autoSpaceDN/>
        <w:bidi w:val="0"/>
        <w:adjustRightInd/>
        <w:snapToGrid/>
        <w:spacing w:line="360" w:lineRule="auto"/>
        <w:ind w:left="0" w:firstLine="480"/>
        <w:jc w:val="left"/>
        <w:textAlignment w:val="auto"/>
        <w:rPr>
          <w:rFonts w:ascii="宋体" w:hAnsi="宋体" w:cs="宋体"/>
          <w:color w:val="000000" w:themeColor="text1"/>
          <w:spacing w:val="8"/>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2.地点：“苏采云”政府采购交易系统网上开标大厅。</w:t>
      </w:r>
    </w:p>
    <w:p w14:paraId="4EB2D7C7">
      <w:pPr>
        <w:keepNext w:val="0"/>
        <w:keepLines w:val="0"/>
        <w:pageBreakBefore w:val="0"/>
        <w:widowControl/>
        <w:shd w:val="clear" w:color="auto"/>
        <w:kinsoku/>
        <w:wordWrap/>
        <w:overflowPunct/>
        <w:topLinePunct w:val="0"/>
        <w:autoSpaceDE/>
        <w:autoSpaceDN/>
        <w:bidi w:val="0"/>
        <w:adjustRightInd/>
        <w:snapToGrid/>
        <w:spacing w:line="360" w:lineRule="auto"/>
        <w:ind w:left="0"/>
        <w:textAlignment w:val="auto"/>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五、公告期限</w:t>
      </w:r>
    </w:p>
    <w:p w14:paraId="3E1278AD">
      <w:pPr>
        <w:keepNext w:val="0"/>
        <w:keepLines w:val="0"/>
        <w:pageBreakBefore w:val="0"/>
        <w:widowControl/>
        <w:shd w:val="clear" w:color="auto"/>
        <w:kinsoku/>
        <w:wordWrap/>
        <w:overflowPunct/>
        <w:topLinePunct w:val="0"/>
        <w:autoSpaceDE/>
        <w:autoSpaceDN/>
        <w:bidi w:val="0"/>
        <w:adjustRightInd/>
        <w:snapToGrid/>
        <w:spacing w:line="360" w:lineRule="auto"/>
        <w:ind w:left="0" w:firstLine="555"/>
        <w:textAlignment w:val="auto"/>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自本公告发布之日起5个工作日。</w:t>
      </w:r>
    </w:p>
    <w:p w14:paraId="4CFA6E0C">
      <w:pPr>
        <w:keepNext w:val="0"/>
        <w:keepLines w:val="0"/>
        <w:pageBreakBefore w:val="0"/>
        <w:widowControl/>
        <w:shd w:val="clear" w:color="auto"/>
        <w:kinsoku/>
        <w:wordWrap/>
        <w:overflowPunct/>
        <w:topLinePunct w:val="0"/>
        <w:autoSpaceDE/>
        <w:autoSpaceDN/>
        <w:bidi w:val="0"/>
        <w:adjustRightInd/>
        <w:snapToGrid/>
        <w:spacing w:line="360" w:lineRule="auto"/>
        <w:ind w:left="0"/>
        <w:textAlignment w:val="auto"/>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六、其他补充事宜</w:t>
      </w:r>
    </w:p>
    <w:p w14:paraId="382BD8BD">
      <w:pPr>
        <w:keepNext w:val="0"/>
        <w:keepLines w:val="0"/>
        <w:pageBreakBefore w:val="0"/>
        <w:suppressLineNumbers w:val="0"/>
        <w:shd w:val="clear"/>
        <w:tabs>
          <w:tab w:val="left" w:pos="900"/>
        </w:tabs>
        <w:kinsoku/>
        <w:wordWrap/>
        <w:overflowPunct/>
        <w:topLinePunct w:val="0"/>
        <w:autoSpaceDE/>
        <w:autoSpaceDN/>
        <w:bidi w:val="0"/>
        <w:adjustRightInd/>
        <w:snapToGrid/>
        <w:spacing w:before="0" w:after="0" w:line="360" w:lineRule="auto"/>
        <w:ind w:left="0" w:firstLine="480"/>
        <w:contextualSpacing/>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CA证书办理</w:t>
      </w:r>
    </w:p>
    <w:p w14:paraId="1B77D48F">
      <w:pPr>
        <w:pStyle w:val="44"/>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w:t>
      </w:r>
      <w:r>
        <w:rPr>
          <w:rFonts w:hint="eastAsia" w:ascii="宋体" w:hAnsi="宋体" w:eastAsia="宋体" w:cs="宋体"/>
          <w:color w:val="000000" w:themeColor="text1"/>
          <w:sz w:val="24"/>
          <w:szCs w:val="24"/>
          <w:highlight w:val="none"/>
          <w:lang w:val="en-US" w:eastAsia="zh-CN"/>
          <w14:textFill>
            <w14:solidFill>
              <w14:schemeClr w14:val="tx1"/>
            </w14:solidFill>
          </w14:textFill>
        </w:rPr>
        <w:t>1楼服务大厅</w:t>
      </w:r>
      <w:r>
        <w:rPr>
          <w:rFonts w:hint="eastAsia" w:ascii="宋体" w:hAnsi="宋体" w:eastAsia="宋体" w:cs="宋体"/>
          <w:color w:val="000000" w:themeColor="text1"/>
          <w:sz w:val="24"/>
          <w:szCs w:val="24"/>
          <w:highlight w:val="none"/>
          <w14:textFill>
            <w14:solidFill>
              <w14:schemeClr w14:val="tx1"/>
            </w14:solidFill>
          </w14:textFill>
        </w:rPr>
        <w:t>，咨询电话</w:t>
      </w:r>
      <w:r>
        <w:rPr>
          <w:rFonts w:hint="eastAsia" w:ascii="宋体" w:hAnsi="宋体" w:eastAsia="宋体" w:cs="宋体"/>
          <w:color w:val="000000" w:themeColor="text1"/>
          <w:sz w:val="24"/>
          <w:szCs w:val="24"/>
          <w:highlight w:val="none"/>
          <w:lang w:eastAsia="zh-CN"/>
          <w14:textFill>
            <w14:solidFill>
              <w14:schemeClr w14:val="tx1"/>
            </w14:solidFill>
          </w14:textFill>
        </w:rPr>
        <w:t>：0512-69820630</w:t>
      </w:r>
      <w:r>
        <w:rPr>
          <w:rFonts w:hint="eastAsia" w:ascii="宋体" w:hAnsi="宋体" w:eastAsia="宋体" w:cs="宋体"/>
          <w:color w:val="000000" w:themeColor="text1"/>
          <w:sz w:val="24"/>
          <w:szCs w:val="24"/>
          <w:highlight w:val="none"/>
          <w14:textFill>
            <w14:solidFill>
              <w14:schemeClr w14:val="tx1"/>
            </w14:solidFill>
          </w14:textFill>
        </w:rPr>
        <w:t>。</w:t>
      </w:r>
    </w:p>
    <w:p w14:paraId="6E344E51">
      <w:pPr>
        <w:pStyle w:val="44"/>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参与采购活动</w:t>
      </w:r>
    </w:p>
    <w:p w14:paraId="383FEDFE">
      <w:pPr>
        <w:pStyle w:val="44"/>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F478CAF">
      <w:pPr>
        <w:pStyle w:val="44"/>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电子投标准备</w:t>
      </w:r>
    </w:p>
    <w:p w14:paraId="296709B9">
      <w:pPr>
        <w:pStyle w:val="44"/>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w:t>
      </w:r>
    </w:p>
    <w:p w14:paraId="1BFFF10F">
      <w:pPr>
        <w:pStyle w:val="44"/>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4.招标</w:t>
      </w:r>
      <w:r>
        <w:rPr>
          <w:rFonts w:hint="eastAsia" w:ascii="宋体" w:hAnsi="宋体" w:eastAsia="宋体" w:cs="宋体"/>
          <w:color w:val="000000" w:themeColor="text1"/>
          <w:sz w:val="24"/>
          <w:highlight w:val="none"/>
          <w14:textFill>
            <w14:solidFill>
              <w14:schemeClr w14:val="tx1"/>
            </w14:solidFill>
          </w14:textFill>
        </w:rPr>
        <w:t>文件澄清或者修改内容及项目相关情况的告知方式：</w:t>
      </w:r>
      <w:r>
        <w:rPr>
          <w:rFonts w:hint="eastAsia" w:ascii="宋体" w:hAnsi="宋体" w:eastAsia="宋体" w:cs="宋体"/>
          <w:color w:val="000000" w:themeColor="text1"/>
          <w:sz w:val="24"/>
          <w:highlight w:val="none"/>
          <w:lang w:val="en-US" w:eastAsia="zh-CN"/>
          <w14:textFill>
            <w14:solidFill>
              <w14:schemeClr w14:val="tx1"/>
            </w14:solidFill>
          </w14:textFill>
        </w:rPr>
        <w:t>将</w:t>
      </w:r>
      <w:r>
        <w:rPr>
          <w:rFonts w:hint="eastAsia" w:ascii="宋体" w:hAnsi="宋体" w:eastAsia="宋体" w:cs="宋体"/>
          <w:color w:val="000000" w:themeColor="text1"/>
          <w:sz w:val="24"/>
          <w:highlight w:val="none"/>
          <w14:textFill>
            <w14:solidFill>
              <w14:schemeClr w14:val="tx1"/>
            </w14:solidFill>
          </w14:textFill>
        </w:rPr>
        <w:t>在“江苏政府采购网、苏州市政府采购网”公告的方式告知</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投标人可自行查看并下载</w:t>
      </w:r>
      <w:r>
        <w:rPr>
          <w:rFonts w:hint="eastAsia" w:ascii="宋体" w:hAnsi="宋体" w:eastAsia="宋体" w:cs="宋体"/>
          <w:color w:val="000000" w:themeColor="text1"/>
          <w:sz w:val="24"/>
          <w:highlight w:val="none"/>
          <w14:textFill>
            <w14:solidFill>
              <w14:schemeClr w14:val="tx1"/>
            </w14:solidFill>
          </w14:textFill>
        </w:rPr>
        <w:t>。</w:t>
      </w:r>
    </w:p>
    <w:p w14:paraId="61F3D621">
      <w:pPr>
        <w:keepNext w:val="0"/>
        <w:keepLines w:val="0"/>
        <w:pageBreakBefore w:val="0"/>
        <w:widowControl/>
        <w:shd w:val="clear"/>
        <w:kinsoku/>
        <w:wordWrap/>
        <w:overflowPunct/>
        <w:topLinePunct w:val="0"/>
        <w:autoSpaceDE/>
        <w:autoSpaceDN/>
        <w:bidi w:val="0"/>
        <w:adjustRightInd/>
        <w:snapToGrid/>
        <w:spacing w:line="360" w:lineRule="auto"/>
        <w:ind w:left="0" w:firstLine="480"/>
        <w:jc w:val="left"/>
        <w:textAlignment w:val="auto"/>
        <w:rPr>
          <w:rFonts w:ascii="宋体" w:hAnsi="宋体" w:cs="宋体"/>
          <w:color w:val="000000" w:themeColor="text1"/>
          <w:spacing w:val="8"/>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14:textFill>
            <w14:solidFill>
              <w14:schemeClr w14:val="tx1"/>
            </w14:solidFill>
          </w14:textFill>
        </w:rPr>
        <w:t>投标保证金</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本次招标不收取投标保证金。</w:t>
      </w:r>
    </w:p>
    <w:p w14:paraId="5460D05D">
      <w:pPr>
        <w:keepNext w:val="0"/>
        <w:keepLines w:val="0"/>
        <w:pageBreakBefore w:val="0"/>
        <w:widowControl/>
        <w:shd w:val="clear" w:color="auto"/>
        <w:kinsoku/>
        <w:wordWrap/>
        <w:overflowPunct/>
        <w:topLinePunct w:val="0"/>
        <w:autoSpaceDE/>
        <w:autoSpaceDN/>
        <w:bidi w:val="0"/>
        <w:adjustRightInd/>
        <w:snapToGrid/>
        <w:spacing w:line="360" w:lineRule="auto"/>
        <w:ind w:left="0"/>
        <w:jc w:val="left"/>
        <w:textAlignment w:val="auto"/>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七、本次招标联系方式</w:t>
      </w:r>
      <w:bookmarkEnd w:id="2"/>
      <w:bookmarkEnd w:id="3"/>
      <w:bookmarkEnd w:id="4"/>
      <w:bookmarkEnd w:id="5"/>
      <w:bookmarkEnd w:id="6"/>
      <w:bookmarkEnd w:id="12"/>
    </w:p>
    <w:p w14:paraId="32A8F645">
      <w:pPr>
        <w:keepNext w:val="0"/>
        <w:keepLines w:val="0"/>
        <w:pageBreakBefore w:val="0"/>
        <w:widowControl/>
        <w:suppressLineNumbers w:val="0"/>
        <w:shd w:val="clear"/>
        <w:kinsoku/>
        <w:wordWrap/>
        <w:overflowPunct/>
        <w:topLinePunct w:val="0"/>
        <w:autoSpaceDE/>
        <w:autoSpaceDN/>
        <w:bidi w:val="0"/>
        <w:adjustRightInd/>
        <w:snapToGrid/>
        <w:spacing w:before="0" w:after="0" w:line="360" w:lineRule="auto"/>
        <w:ind w:firstLine="480"/>
        <w:contextualSpacing/>
        <w:jc w:val="left"/>
        <w:textAlignment w:val="auto"/>
        <w:rPr>
          <w:rFonts w:ascii="宋体" w:hAnsi="宋体"/>
          <w:color w:val="000000" w:themeColor="text1"/>
          <w:sz w:val="24"/>
          <w:szCs w:val="24"/>
          <w:highlight w:val="none"/>
          <w14:textFill>
            <w14:solidFill>
              <w14:schemeClr w14:val="tx1"/>
            </w14:solidFill>
          </w14:textFill>
        </w:rPr>
      </w:pPr>
      <w:bookmarkStart w:id="15" w:name="_Toc462564139"/>
      <w:bookmarkStart w:id="16" w:name="_Hlt26955039"/>
      <w:bookmarkStart w:id="17" w:name="_Toc479757211"/>
      <w:bookmarkStart w:id="18" w:name="_Toc26554094"/>
      <w:r>
        <w:rPr>
          <w:rFonts w:hint="eastAsia" w:ascii="宋体" w:hAnsi="宋体" w:cs="宋体"/>
          <w:color w:val="000000" w:themeColor="text1"/>
          <w:sz w:val="24"/>
          <w:szCs w:val="24"/>
          <w:highlight w:val="none"/>
          <w14:textFill>
            <w14:solidFill>
              <w14:schemeClr w14:val="tx1"/>
            </w14:solidFill>
          </w14:textFill>
        </w:rPr>
        <w:t>1.采购人信息</w:t>
      </w:r>
    </w:p>
    <w:p w14:paraId="7D4D8AB4">
      <w:pPr>
        <w:keepNext w:val="0"/>
        <w:keepLines w:val="0"/>
        <w:pageBreakBefore w:val="0"/>
        <w:suppressLineNumbers w:val="0"/>
        <w:shd w:val="clear" w:color="auto"/>
        <w:kinsoku/>
        <w:wordWrap/>
        <w:overflowPunct/>
        <w:topLinePunct w:val="0"/>
        <w:autoSpaceDE/>
        <w:autoSpaceDN/>
        <w:bidi w:val="0"/>
        <w:adjustRightInd/>
        <w:snapToGrid/>
        <w:spacing w:before="0" w:after="0" w:line="360" w:lineRule="auto"/>
        <w:ind w:firstLine="720" w:firstLineChars="300"/>
        <w:contextualSpacing/>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张家港市常阴沙现代农业示范园区管理委员会</w:t>
      </w:r>
    </w:p>
    <w:p w14:paraId="1B0419E0">
      <w:pPr>
        <w:keepNext w:val="0"/>
        <w:keepLines w:val="0"/>
        <w:pageBreakBefore w:val="0"/>
        <w:suppressLineNumbers w:val="0"/>
        <w:shd w:val="clear"/>
        <w:kinsoku/>
        <w:wordWrap/>
        <w:overflowPunct/>
        <w:topLinePunct w:val="0"/>
        <w:autoSpaceDE/>
        <w:autoSpaceDN/>
        <w:bidi w:val="0"/>
        <w:adjustRightInd/>
        <w:snapToGrid/>
        <w:spacing w:before="0" w:after="0" w:line="360" w:lineRule="auto"/>
        <w:ind w:firstLine="720"/>
        <w:contextualSpacing/>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地址：张家港市</w:t>
      </w:r>
      <w:r>
        <w:rPr>
          <w:rFonts w:hint="eastAsia" w:ascii="宋体" w:hAnsi="宋体" w:eastAsia="宋体" w:cs="宋体"/>
          <w:color w:val="auto"/>
          <w:sz w:val="24"/>
          <w:szCs w:val="24"/>
          <w:highlight w:val="none"/>
          <w:lang w:val="en-US" w:eastAsia="zh-CN"/>
        </w:rPr>
        <w:t>现代农业示范园区红旗中路1号</w:t>
      </w:r>
    </w:p>
    <w:p w14:paraId="38F0F19A">
      <w:pPr>
        <w:keepNext w:val="0"/>
        <w:keepLines w:val="0"/>
        <w:pageBreakBefore w:val="0"/>
        <w:suppressLineNumbers w:val="0"/>
        <w:shd w:val="clear"/>
        <w:kinsoku/>
        <w:wordWrap/>
        <w:overflowPunct/>
        <w:topLinePunct w:val="0"/>
        <w:autoSpaceDE/>
        <w:autoSpaceDN/>
        <w:bidi w:val="0"/>
        <w:adjustRightInd/>
        <w:snapToGrid/>
        <w:spacing w:before="0" w:after="0" w:line="360" w:lineRule="auto"/>
        <w:ind w:firstLine="720"/>
        <w:contextualSpacing/>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cs="宋体"/>
          <w:color w:val="000000" w:themeColor="text1"/>
          <w:sz w:val="24"/>
          <w:szCs w:val="24"/>
          <w:highlight w:val="none"/>
          <w:lang w:val="en-US" w:eastAsia="zh-CN"/>
          <w14:textFill>
            <w14:solidFill>
              <w14:schemeClr w14:val="tx1"/>
            </w14:solidFill>
          </w14:textFill>
        </w:rPr>
        <w:t>朱叶凯，</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0512-5864081</w:t>
      </w:r>
      <w:r>
        <w:rPr>
          <w:rFonts w:hint="eastAsia" w:ascii="宋体" w:hAnsi="宋体" w:cs="宋体"/>
          <w:color w:val="auto"/>
          <w:sz w:val="24"/>
          <w:szCs w:val="24"/>
          <w:highlight w:val="none"/>
          <w:lang w:val="en-US" w:eastAsia="zh-CN"/>
        </w:rPr>
        <w:t>5</w:t>
      </w:r>
    </w:p>
    <w:p w14:paraId="099A5888">
      <w:pPr>
        <w:keepNext w:val="0"/>
        <w:keepLines w:val="0"/>
        <w:pageBreakBefore w:val="0"/>
        <w:suppressLineNumbers w:val="0"/>
        <w:shd w:val="clear"/>
        <w:kinsoku/>
        <w:wordWrap/>
        <w:overflowPunct/>
        <w:topLinePunct w:val="0"/>
        <w:autoSpaceDE/>
        <w:autoSpaceDN/>
        <w:bidi w:val="0"/>
        <w:adjustRightInd/>
        <w:snapToGrid/>
        <w:spacing w:before="0" w:after="0" w:line="360" w:lineRule="auto"/>
        <w:ind w:left="0" w:firstLine="0"/>
        <w:contextualSpacing/>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2.招标代理机构信息</w:t>
      </w:r>
    </w:p>
    <w:p w14:paraId="4339E991">
      <w:pPr>
        <w:keepNext w:val="0"/>
        <w:keepLines w:val="0"/>
        <w:pageBreakBefore w:val="0"/>
        <w:suppressLineNumbers w:val="0"/>
        <w:shd w:val="clear"/>
        <w:kinsoku/>
        <w:wordWrap/>
        <w:overflowPunct/>
        <w:topLinePunct w:val="0"/>
        <w:autoSpaceDE/>
        <w:autoSpaceDN/>
        <w:bidi w:val="0"/>
        <w:adjustRightInd/>
        <w:snapToGrid/>
        <w:spacing w:before="0" w:after="0" w:line="360" w:lineRule="auto"/>
        <w:ind w:firstLine="720"/>
        <w:contextualSpacing/>
        <w:jc w:val="left"/>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名  称：江苏仁合中惠工程咨询有限公司</w:t>
      </w:r>
    </w:p>
    <w:p w14:paraId="676AD021">
      <w:pPr>
        <w:keepNext w:val="0"/>
        <w:keepLines w:val="0"/>
        <w:pageBreakBefore w:val="0"/>
        <w:suppressLineNumbers w:val="0"/>
        <w:shd w:val="clear"/>
        <w:kinsoku/>
        <w:wordWrap/>
        <w:overflowPunct/>
        <w:topLinePunct w:val="0"/>
        <w:autoSpaceDE/>
        <w:autoSpaceDN/>
        <w:bidi w:val="0"/>
        <w:adjustRightInd/>
        <w:snapToGrid/>
        <w:spacing w:before="0" w:after="0" w:line="360" w:lineRule="auto"/>
        <w:ind w:firstLine="720"/>
        <w:contextualSpacing/>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lang w:val="en-US" w:eastAsia="zh-CN"/>
          <w14:textFill>
            <w14:solidFill>
              <w14:schemeClr w14:val="tx1"/>
            </w14:solidFill>
          </w14:textFill>
        </w:rPr>
        <w:t>张家港市杨舍镇农联村委会门卫楼3F</w:t>
      </w:r>
    </w:p>
    <w:p w14:paraId="4C1E379C">
      <w:pPr>
        <w:keepNext w:val="0"/>
        <w:keepLines w:val="0"/>
        <w:pageBreakBefore w:val="0"/>
        <w:suppressLineNumbers w:val="0"/>
        <w:shd w:val="clear"/>
        <w:kinsoku/>
        <w:wordWrap/>
        <w:overflowPunct/>
        <w:topLinePunct w:val="0"/>
        <w:autoSpaceDE/>
        <w:autoSpaceDN/>
        <w:bidi w:val="0"/>
        <w:adjustRightInd/>
        <w:snapToGrid/>
        <w:spacing w:before="0" w:after="0" w:line="360" w:lineRule="auto"/>
        <w:ind w:firstLine="720"/>
        <w:contextualSpacing/>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联系人：赵明珠</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联系方式：13812868803</w:t>
      </w:r>
    </w:p>
    <w:p w14:paraId="2A1A6AA0">
      <w:pPr>
        <w:pStyle w:val="2"/>
        <w:shd w:val="clear"/>
        <w:jc w:val="center"/>
        <w:rPr>
          <w:rFonts w:ascii="黑体" w:eastAsia="黑体"/>
          <w:color w:val="000000" w:themeColor="text1"/>
          <w:highlight w:val="none"/>
          <w14:textFill>
            <w14:solidFill>
              <w14:schemeClr w14:val="tx1"/>
            </w14:solidFill>
          </w14:textFill>
        </w:rPr>
      </w:pPr>
      <w:r>
        <w:rPr>
          <w:rFonts w:hint="eastAsia" w:ascii="黑体" w:eastAsia="黑体"/>
          <w:color w:val="000000" w:themeColor="text1"/>
          <w:highlight w:val="none"/>
          <w14:textFill>
            <w14:solidFill>
              <w14:schemeClr w14:val="tx1"/>
            </w14:solidFill>
          </w14:textFill>
        </w:rPr>
        <w:br w:type="page" w:clear="all"/>
      </w:r>
      <w:bookmarkStart w:id="19" w:name="_Toc1463"/>
      <w:r>
        <w:rPr>
          <w:rFonts w:hint="eastAsia" w:ascii="黑体" w:eastAsia="黑体"/>
          <w:color w:val="000000" w:themeColor="text1"/>
          <w:highlight w:val="none"/>
          <w14:textFill>
            <w14:solidFill>
              <w14:schemeClr w14:val="tx1"/>
            </w14:solidFill>
          </w14:textFill>
        </w:rPr>
        <w:t xml:space="preserve">第二章  </w:t>
      </w:r>
      <w:bookmarkStart w:id="20" w:name="_Toc120614213"/>
      <w:bookmarkStart w:id="21" w:name="_Toc16938518"/>
      <w:bookmarkStart w:id="22" w:name="_Toc513029202"/>
      <w:bookmarkStart w:id="23" w:name="_Toc20823274"/>
      <w:r>
        <w:rPr>
          <w:rFonts w:hint="eastAsia" w:ascii="黑体" w:eastAsia="黑体"/>
          <w:color w:val="000000" w:themeColor="text1"/>
          <w:highlight w:val="none"/>
          <w14:textFill>
            <w14:solidFill>
              <w14:schemeClr w14:val="tx1"/>
            </w14:solidFill>
          </w14:textFill>
        </w:rPr>
        <w:t>投标人须知</w:t>
      </w:r>
      <w:bookmarkEnd w:id="19"/>
      <w:bookmarkEnd w:id="20"/>
      <w:bookmarkEnd w:id="21"/>
      <w:bookmarkEnd w:id="22"/>
      <w:bookmarkEnd w:id="23"/>
    </w:p>
    <w:p w14:paraId="240A683C">
      <w:pPr>
        <w:pStyle w:val="642"/>
        <w:pageBreakBefore w:val="0"/>
        <w:widowControl w:val="0"/>
        <w:shd w:val="clear"/>
        <w:kinsoku/>
        <w:wordWrap/>
        <w:overflowPunct/>
        <w:topLinePunct w:val="0"/>
        <w:autoSpaceDE/>
        <w:autoSpaceDN/>
        <w:bidi w:val="0"/>
        <w:adjustRightInd/>
        <w:snapToGrid/>
        <w:spacing w:before="0" w:after="0" w:line="360" w:lineRule="auto"/>
        <w:ind w:firstLine="498"/>
        <w:contextualSpacing/>
        <w:textAlignment w:val="auto"/>
        <w:rPr>
          <w:rFonts w:ascii="宋体" w:hAnsi="宋体" w:cs="宋体"/>
          <w:color w:val="000000" w:themeColor="text1"/>
          <w:highlight w:val="none"/>
          <w14:textFill>
            <w14:solidFill>
              <w14:schemeClr w14:val="tx1"/>
            </w14:solidFill>
          </w14:textFill>
        </w:rPr>
      </w:pPr>
      <w:bookmarkStart w:id="24" w:name="_Toc16938519"/>
      <w:bookmarkStart w:id="25" w:name="_Toc20823275"/>
      <w:bookmarkStart w:id="26" w:name="_Toc120614214"/>
      <w:bookmarkStart w:id="27" w:name="_Toc513029203"/>
      <w:r>
        <w:rPr>
          <w:rFonts w:hint="eastAsia" w:ascii="宋体" w:hAnsi="宋体" w:cs="宋体"/>
          <w:color w:val="000000" w:themeColor="text1"/>
          <w:highlight w:val="none"/>
          <w14:textFill>
            <w14:solidFill>
              <w14:schemeClr w14:val="tx1"/>
            </w14:solidFill>
          </w14:textFill>
        </w:rPr>
        <w:t>一、总则</w:t>
      </w:r>
      <w:bookmarkEnd w:id="24"/>
      <w:bookmarkEnd w:id="25"/>
      <w:bookmarkEnd w:id="26"/>
      <w:bookmarkEnd w:id="27"/>
    </w:p>
    <w:p w14:paraId="7D33E2C3">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28" w:name="_Hlt16619475"/>
      <w:bookmarkEnd w:id="28"/>
      <w:bookmarkStart w:id="29" w:name="_Toc458694821"/>
      <w:bookmarkStart w:id="30" w:name="_Toc513029204"/>
      <w:bookmarkStart w:id="31" w:name="_Toc20823276"/>
      <w:bookmarkStart w:id="32" w:name="_Toc16938520"/>
      <w:r>
        <w:rPr>
          <w:rFonts w:hint="eastAsia" w:ascii="宋体" w:hAnsi="宋体" w:cs="宋体"/>
          <w:b w:val="0"/>
          <w:bCs w:val="0"/>
          <w:color w:val="000000" w:themeColor="text1"/>
          <w:highlight w:val="none"/>
          <w14:textFill>
            <w14:solidFill>
              <w14:schemeClr w14:val="tx1"/>
            </w14:solidFill>
          </w14:textFill>
        </w:rPr>
        <w:t>1</w:t>
      </w:r>
      <w:bookmarkEnd w:id="29"/>
      <w:r>
        <w:rPr>
          <w:rFonts w:hint="eastAsia" w:ascii="宋体" w:hAnsi="宋体" w:eastAsia="宋体" w:cs="宋体"/>
          <w:b w:val="0"/>
          <w:bCs w:val="0"/>
          <w:color w:val="000000" w:themeColor="text1"/>
          <w:highlight w:val="none"/>
          <w14:textFill>
            <w14:solidFill>
              <w14:schemeClr w14:val="tx1"/>
            </w14:solidFill>
          </w14:textFill>
        </w:rPr>
        <w:t>、招标方式</w:t>
      </w:r>
      <w:bookmarkEnd w:id="30"/>
      <w:bookmarkEnd w:id="31"/>
      <w:bookmarkEnd w:id="32"/>
    </w:p>
    <w:p w14:paraId="73BE0D4E">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1.1本次招标采取公开招标方式，本招标文件仅适用于招标公告中所述项目。</w:t>
      </w:r>
    </w:p>
    <w:p w14:paraId="715D8077">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33" w:name="_Toc513029205"/>
      <w:bookmarkStart w:id="34" w:name="_Toc16938521"/>
      <w:bookmarkStart w:id="35" w:name="_Toc20823277"/>
      <w:r>
        <w:rPr>
          <w:rFonts w:hint="eastAsia" w:ascii="宋体" w:hAnsi="宋体" w:eastAsia="宋体" w:cs="宋体"/>
          <w:b w:val="0"/>
          <w:bCs w:val="0"/>
          <w:color w:val="000000" w:themeColor="text1"/>
          <w:highlight w:val="none"/>
          <w14:textFill>
            <w14:solidFill>
              <w14:schemeClr w14:val="tx1"/>
            </w14:solidFill>
          </w14:textFill>
        </w:rPr>
        <w:t>2、合格的投标人</w:t>
      </w:r>
      <w:bookmarkEnd w:id="33"/>
      <w:bookmarkEnd w:id="34"/>
      <w:bookmarkEnd w:id="35"/>
    </w:p>
    <w:p w14:paraId="139E0E4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2.1满足招标公告中供应商的资格要求的规定。</w:t>
      </w:r>
    </w:p>
    <w:p w14:paraId="310D407D">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2.2满足本文件实质性要求和条件的规定。</w:t>
      </w:r>
    </w:p>
    <w:p w14:paraId="2D437FB5">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36" w:name="_Toc20823278"/>
      <w:bookmarkStart w:id="37" w:name="_Toc513029206"/>
      <w:bookmarkStart w:id="38" w:name="_Toc16938522"/>
      <w:r>
        <w:rPr>
          <w:rFonts w:hint="eastAsia" w:ascii="宋体" w:hAnsi="宋体" w:eastAsia="宋体" w:cs="宋体"/>
          <w:b w:val="0"/>
          <w:bCs w:val="0"/>
          <w:color w:val="000000" w:themeColor="text1"/>
          <w:highlight w:val="none"/>
          <w14:textFill>
            <w14:solidFill>
              <w14:schemeClr w14:val="tx1"/>
            </w14:solidFill>
          </w14:textFill>
        </w:rPr>
        <w:t>3、适用法律</w:t>
      </w:r>
      <w:bookmarkEnd w:id="36"/>
      <w:bookmarkEnd w:id="37"/>
      <w:bookmarkEnd w:id="38"/>
    </w:p>
    <w:p w14:paraId="1AA93C16">
      <w:pPr>
        <w:pageBreakBefore w:val="0"/>
        <w:widowControl w:val="0"/>
        <w:shd w:val="clear"/>
        <w:kinsoku/>
        <w:wordWrap/>
        <w:overflowPunct/>
        <w:topLinePunct w:val="0"/>
        <w:autoSpaceDE/>
        <w:autoSpaceDN/>
        <w:bidi w:val="0"/>
        <w:adjustRightInd/>
        <w:snapToGrid/>
        <w:spacing w:line="360" w:lineRule="auto"/>
        <w:ind w:firstLine="42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3.1本次招标及由此产生的合同受中华人民共和国有关的法律法规制约和保护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w:t>
      </w:r>
    </w:p>
    <w:p w14:paraId="32BD0441">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39" w:name="_Toc513029207"/>
      <w:bookmarkStart w:id="40" w:name="_Toc462564067"/>
      <w:bookmarkStart w:id="41" w:name="_Toc20823279"/>
      <w:bookmarkStart w:id="42" w:name="_Toc16938523"/>
      <w:r>
        <w:rPr>
          <w:rFonts w:hint="eastAsia" w:ascii="宋体" w:hAnsi="宋体" w:eastAsia="宋体" w:cs="宋体"/>
          <w:b w:val="0"/>
          <w:bCs w:val="0"/>
          <w:color w:val="000000" w:themeColor="text1"/>
          <w:highlight w:val="none"/>
          <w14:textFill>
            <w14:solidFill>
              <w14:schemeClr w14:val="tx1"/>
            </w14:solidFill>
          </w14:textFill>
        </w:rPr>
        <w:t>4、投标费用</w:t>
      </w:r>
      <w:bookmarkEnd w:id="39"/>
      <w:bookmarkEnd w:id="40"/>
      <w:bookmarkEnd w:id="41"/>
      <w:bookmarkEnd w:id="42"/>
    </w:p>
    <w:p w14:paraId="276BB6F3">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4.1</w:t>
      </w:r>
      <w:r>
        <w:rPr>
          <w:rFonts w:hint="eastAsia" w:ascii="宋体" w:hAnsi="宋体" w:cs="宋体"/>
          <w:color w:val="000000" w:themeColor="text1"/>
          <w:sz w:val="24"/>
          <w:highlight w:val="none"/>
          <w14:textFill>
            <w14:solidFill>
              <w14:schemeClr w14:val="tx1"/>
            </w14:solidFill>
          </w14:textFill>
        </w:rPr>
        <w:t>投标人应自行承担所有与参加投标有关的费用，无论投标过程中的做法和结果如何，江苏仁合中惠工程咨询有限公司（以下简称招标代理机构）在任何情况下均无义务和责任承担这些费用。</w:t>
      </w:r>
    </w:p>
    <w:p w14:paraId="4429F7F1">
      <w:pPr>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4.2本次招标采购代理机构收取代理服务费。</w:t>
      </w:r>
    </w:p>
    <w:p w14:paraId="6D50B152">
      <w:pPr>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4.2.1 本项目采购代理服务费由 中标（成交）供应商 支付；</w:t>
      </w:r>
    </w:p>
    <w:p w14:paraId="090F5A25">
      <w:pPr>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4.2.2 代理费用收取方式：</w:t>
      </w:r>
      <w:r>
        <w:rPr>
          <w:rFonts w:hint="eastAsia" w:hAnsi="宋体" w:cs="宋体"/>
          <w:b/>
          <w:bCs/>
          <w:color w:val="000000" w:themeColor="text1"/>
          <w:sz w:val="24"/>
          <w:szCs w:val="24"/>
          <w:highlight w:val="none"/>
          <w14:textFill>
            <w14:solidFill>
              <w14:schemeClr w14:val="tx1"/>
            </w14:solidFill>
          </w14:textFill>
        </w:rPr>
        <w:t>按预算金额的如下比例支付，</w:t>
      </w:r>
      <w:r>
        <w:rPr>
          <w:rFonts w:hint="eastAsia" w:ascii="宋体" w:hAnsi="宋体" w:cs="宋体"/>
          <w:b/>
          <w:bCs/>
          <w:color w:val="000000" w:themeColor="text1"/>
          <w:sz w:val="24"/>
          <w:szCs w:val="24"/>
          <w:highlight w:val="none"/>
          <w:shd w:val="clear" w:color="auto" w:fill="FFFFFF"/>
          <w14:textFill>
            <w14:solidFill>
              <w14:schemeClr w14:val="tx1"/>
            </w14:solidFill>
          </w14:textFill>
        </w:rPr>
        <w:t>100万元以下部分为1.5%；100万元（含）~500万元部分为</w:t>
      </w:r>
      <w:r>
        <w:rPr>
          <w:rFonts w:hint="eastAsia" w:ascii="宋体" w:hAnsi="宋体" w:cs="宋体"/>
          <w:b/>
          <w:bCs/>
          <w:color w:val="000000" w:themeColor="text1"/>
          <w:sz w:val="24"/>
          <w:szCs w:val="24"/>
          <w:highlight w:val="none"/>
          <w:shd w:val="clear" w:color="auto" w:fill="FFFFFF"/>
          <w:lang w:val="en-US" w:eastAsia="zh-CN"/>
          <w14:textFill>
            <w14:solidFill>
              <w14:schemeClr w14:val="tx1"/>
            </w14:solidFill>
          </w14:textFill>
        </w:rPr>
        <w:t>1.1</w:t>
      </w:r>
      <w:r>
        <w:rPr>
          <w:rFonts w:hint="eastAsia" w:ascii="宋体" w:hAnsi="宋体" w:cs="宋体"/>
          <w:b/>
          <w:bCs/>
          <w:color w:val="000000" w:themeColor="text1"/>
          <w:sz w:val="24"/>
          <w:szCs w:val="24"/>
          <w:highlight w:val="none"/>
          <w:shd w:val="clear" w:color="auto" w:fill="FFFFFF"/>
          <w14:textFill>
            <w14:solidFill>
              <w14:schemeClr w14:val="tx1"/>
            </w14:solidFill>
          </w14:textFill>
        </w:rPr>
        <w:t>%</w:t>
      </w:r>
      <w:r>
        <w:rPr>
          <w:rFonts w:hint="eastAsia" w:ascii="宋体" w:hAnsi="宋体" w:cs="宋体"/>
          <w:b/>
          <w:bCs/>
          <w:color w:val="000000" w:themeColor="text1"/>
          <w:sz w:val="24"/>
          <w:szCs w:val="24"/>
          <w:highlight w:val="none"/>
          <w:shd w:val="clear" w:color="auto" w:fill="FFFFFF"/>
          <w:lang w:eastAsia="zh-CN"/>
          <w14:textFill>
            <w14:solidFill>
              <w14:schemeClr w14:val="tx1"/>
            </w14:solidFill>
          </w14:textFill>
        </w:rPr>
        <w:t>，</w:t>
      </w:r>
      <w:r>
        <w:rPr>
          <w:rFonts w:hint="eastAsia" w:ascii="宋体" w:hAnsi="宋体" w:eastAsia="宋体" w:cs="宋体"/>
          <w:b/>
          <w:bCs/>
          <w:color w:val="auto"/>
          <w:sz w:val="24"/>
          <w:highlight w:val="none"/>
        </w:rPr>
        <w:t>差额定率累进法计算</w:t>
      </w:r>
      <w:r>
        <w:rPr>
          <w:rFonts w:hint="eastAsia" w:ascii="宋体" w:hAnsi="宋体" w:cs="宋体"/>
          <w:b/>
          <w:bCs/>
          <w:color w:val="auto"/>
          <w:sz w:val="24"/>
          <w:highlight w:val="none"/>
          <w:lang w:val="en-US" w:eastAsia="zh-CN"/>
        </w:rPr>
        <w:t>*85%</w:t>
      </w:r>
      <w:r>
        <w:rPr>
          <w:rFonts w:hint="eastAsia" w:ascii="宋体" w:hAnsi="宋体" w:eastAsia="宋体" w:cs="宋体"/>
          <w:b/>
          <w:bCs/>
          <w:color w:val="auto"/>
          <w:sz w:val="24"/>
          <w:highlight w:val="none"/>
        </w:rPr>
        <w:t>支付</w:t>
      </w:r>
      <w:r>
        <w:rPr>
          <w:rFonts w:hint="eastAsia" w:ascii="宋体" w:hAnsi="宋体" w:cs="宋体"/>
          <w:b/>
          <w:bCs/>
          <w:color w:val="000000" w:themeColor="text1"/>
          <w:sz w:val="24"/>
          <w:szCs w:val="24"/>
          <w:highlight w:val="none"/>
          <w14:textFill>
            <w14:solidFill>
              <w14:schemeClr w14:val="tx1"/>
            </w14:solidFill>
          </w14:textFill>
        </w:rPr>
        <w:t>。</w:t>
      </w:r>
      <w:r>
        <w:rPr>
          <w:rFonts w:ascii="Times New Roman" w:hAnsi="Times New Roman"/>
          <w:b/>
          <w:bCs/>
          <w:color w:val="000000" w:themeColor="text1"/>
          <w:sz w:val="24"/>
          <w:szCs w:val="24"/>
          <w:highlight w:val="none"/>
          <w14:textFill>
            <w14:solidFill>
              <w14:schemeClr w14:val="tx1"/>
            </w14:solidFill>
          </w14:textFill>
        </w:rPr>
        <w:t>由成交供应商在</w:t>
      </w:r>
      <w:r>
        <w:rPr>
          <w:rFonts w:hint="eastAsia" w:ascii="宋体" w:hAnsi="宋体" w:cs="宋体"/>
          <w:b/>
          <w:bCs/>
          <w:color w:val="000000" w:themeColor="text1"/>
          <w:sz w:val="24"/>
          <w:szCs w:val="24"/>
          <w:highlight w:val="none"/>
          <w14:textFill>
            <w14:solidFill>
              <w14:schemeClr w14:val="tx1"/>
            </w14:solidFill>
          </w14:textFill>
        </w:rPr>
        <w:t>领取中标通知书时向采购代理机构一次性付清。</w:t>
      </w:r>
    </w:p>
    <w:p w14:paraId="31C26C03">
      <w:pPr>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4.2.3 收费金额：</w:t>
      </w:r>
      <w:r>
        <w:rPr>
          <w:rFonts w:hint="eastAsia" w:ascii="宋体" w:hAnsi="宋体" w:cs="宋体"/>
          <w:b/>
          <w:bCs/>
          <w:color w:val="000000" w:themeColor="text1"/>
          <w:sz w:val="24"/>
          <w:szCs w:val="24"/>
          <w:highlight w:val="none"/>
          <w:lang w:val="en-US" w:eastAsia="zh-CN"/>
          <w14:textFill>
            <w14:solidFill>
              <w14:schemeClr w14:val="tx1"/>
            </w14:solidFill>
          </w14:textFill>
        </w:rPr>
        <w:t>22007</w:t>
      </w:r>
      <w:r>
        <w:rPr>
          <w:rFonts w:hint="eastAsia" w:ascii="宋体" w:hAnsi="宋体" w:cs="宋体"/>
          <w:b/>
          <w:bCs/>
          <w:color w:val="000000" w:themeColor="text1"/>
          <w:sz w:val="24"/>
          <w:szCs w:val="24"/>
          <w:highlight w:val="none"/>
          <w14:textFill>
            <w14:solidFill>
              <w14:schemeClr w14:val="tx1"/>
            </w14:solidFill>
          </w14:textFill>
        </w:rPr>
        <w:t>元。</w:t>
      </w:r>
    </w:p>
    <w:p w14:paraId="378195DE">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5、招标文件的约束力</w:t>
      </w:r>
    </w:p>
    <w:p w14:paraId="397D65C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5.1</w:t>
      </w:r>
      <w:r>
        <w:rPr>
          <w:rFonts w:hint="eastAsia" w:ascii="宋体" w:hAnsi="宋体" w:cs="宋体"/>
          <w:color w:val="000000" w:themeColor="text1"/>
          <w:sz w:val="24"/>
          <w:szCs w:val="24"/>
          <w:highlight w:val="none"/>
          <w14:textFill>
            <w14:solidFill>
              <w14:schemeClr w14:val="tx1"/>
            </w14:solidFill>
          </w14:textFill>
        </w:rPr>
        <w:t>投标人一旦参加本项目采购活动，即被认为接受了本招标文件的规定和约束。</w:t>
      </w:r>
    </w:p>
    <w:p w14:paraId="3417B325">
      <w:pPr>
        <w:pStyle w:val="642"/>
        <w:pageBreakBefore w:val="0"/>
        <w:widowControl w:val="0"/>
        <w:shd w:val="clear"/>
        <w:kinsoku/>
        <w:wordWrap/>
        <w:overflowPunct/>
        <w:topLinePunct w:val="0"/>
        <w:autoSpaceDE/>
        <w:autoSpaceDN/>
        <w:bidi w:val="0"/>
        <w:adjustRightInd/>
        <w:snapToGrid/>
        <w:spacing w:before="0" w:after="0" w:line="360" w:lineRule="auto"/>
        <w:ind w:firstLine="321"/>
        <w:contextualSpacing/>
        <w:textAlignment w:val="auto"/>
        <w:rPr>
          <w:rFonts w:ascii="宋体" w:hAnsi="宋体" w:cs="宋体"/>
          <w:color w:val="000000" w:themeColor="text1"/>
          <w:highlight w:val="none"/>
          <w14:textFill>
            <w14:solidFill>
              <w14:schemeClr w14:val="tx1"/>
            </w14:solidFill>
          </w14:textFill>
        </w:rPr>
      </w:pPr>
      <w:bookmarkStart w:id="43" w:name="_Toc513029209"/>
      <w:bookmarkStart w:id="44" w:name="_Toc120614215"/>
      <w:bookmarkStart w:id="45" w:name="_Toc20823281"/>
      <w:bookmarkStart w:id="46" w:name="_Toc16938525"/>
      <w:r>
        <w:rPr>
          <w:rFonts w:hint="eastAsia" w:ascii="宋体" w:hAnsi="宋体" w:cs="宋体"/>
          <w:color w:val="000000" w:themeColor="text1"/>
          <w:highlight w:val="none"/>
          <w14:textFill>
            <w14:solidFill>
              <w14:schemeClr w14:val="tx1"/>
            </w14:solidFill>
          </w14:textFill>
        </w:rPr>
        <w:t>二、招标文件</w:t>
      </w:r>
      <w:bookmarkEnd w:id="43"/>
      <w:bookmarkEnd w:id="44"/>
      <w:bookmarkEnd w:id="45"/>
      <w:bookmarkEnd w:id="46"/>
    </w:p>
    <w:p w14:paraId="4A331F37">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47" w:name="_Toc16938526"/>
      <w:bookmarkStart w:id="48" w:name="_Toc20823282"/>
      <w:bookmarkStart w:id="49" w:name="_Toc513029210"/>
      <w:r>
        <w:rPr>
          <w:rFonts w:hint="eastAsia" w:ascii="宋体" w:hAnsi="宋体" w:eastAsia="宋体" w:cs="宋体"/>
          <w:b w:val="0"/>
          <w:bCs w:val="0"/>
          <w:color w:val="000000" w:themeColor="text1"/>
          <w:highlight w:val="none"/>
          <w14:textFill>
            <w14:solidFill>
              <w14:schemeClr w14:val="tx1"/>
            </w14:solidFill>
          </w14:textFill>
        </w:rPr>
        <w:t>6、招标文件构成</w:t>
      </w:r>
      <w:bookmarkEnd w:id="47"/>
      <w:bookmarkEnd w:id="48"/>
      <w:bookmarkEnd w:id="49"/>
    </w:p>
    <w:p w14:paraId="15CEBFEF">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6.1</w:t>
      </w:r>
      <w:r>
        <w:rPr>
          <w:rFonts w:hint="eastAsia" w:ascii="宋体" w:hAnsi="宋体" w:cs="宋体"/>
          <w:color w:val="000000" w:themeColor="text1"/>
          <w:sz w:val="24"/>
          <w:highlight w:val="none"/>
          <w14:textFill>
            <w14:solidFill>
              <w14:schemeClr w14:val="tx1"/>
            </w14:solidFill>
          </w14:textFill>
        </w:rPr>
        <w:t>招标文件由以下部分组成：</w:t>
      </w:r>
    </w:p>
    <w:p w14:paraId="5C8BD4EF">
      <w:pPr>
        <w:pageBreakBefore w:val="0"/>
        <w:widowControl w:val="0"/>
        <w:shd w:val="clear"/>
        <w:kinsoku/>
        <w:wordWrap/>
        <w:overflowPunct/>
        <w:topLinePunct w:val="0"/>
        <w:autoSpaceDE/>
        <w:autoSpaceDN/>
        <w:bidi w:val="0"/>
        <w:adjustRightInd/>
        <w:snapToGrid/>
        <w:spacing w:line="360" w:lineRule="auto"/>
        <w:ind w:firstLine="36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w:t>
      </w:r>
      <w:r>
        <w:rPr>
          <w:rFonts w:ascii="宋体" w:hAnsi="宋体" w:cs="宋体"/>
          <w:color w:val="000000" w:themeColor="text1"/>
          <w:sz w:val="24"/>
          <w:szCs w:val="24"/>
          <w:highlight w:val="none"/>
          <w14:textFill>
            <w14:solidFill>
              <w14:schemeClr w14:val="tx1"/>
            </w14:solidFill>
          </w14:textFill>
        </w:rPr>
        <w:t>邀请</w:t>
      </w:r>
    </w:p>
    <w:p w14:paraId="3298AB26">
      <w:pPr>
        <w:pageBreakBefore w:val="0"/>
        <w:widowControl w:val="0"/>
        <w:shd w:val="clear"/>
        <w:kinsoku/>
        <w:wordWrap/>
        <w:overflowPunct/>
        <w:topLinePunct w:val="0"/>
        <w:autoSpaceDE/>
        <w:autoSpaceDN/>
        <w:bidi w:val="0"/>
        <w:adjustRightInd/>
        <w:snapToGrid/>
        <w:spacing w:line="360" w:lineRule="auto"/>
        <w:ind w:firstLine="36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（2）投标人须知</w:t>
      </w:r>
    </w:p>
    <w:p w14:paraId="637E752C">
      <w:pPr>
        <w:pageBreakBefore w:val="0"/>
        <w:widowControl w:val="0"/>
        <w:shd w:val="clear"/>
        <w:kinsoku/>
        <w:wordWrap/>
        <w:overflowPunct/>
        <w:topLinePunct w:val="0"/>
        <w:autoSpaceDE/>
        <w:autoSpaceDN/>
        <w:bidi w:val="0"/>
        <w:adjustRightInd/>
        <w:snapToGrid/>
        <w:spacing w:line="360" w:lineRule="auto"/>
        <w:ind w:firstLine="36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（3）合同文本</w:t>
      </w:r>
    </w:p>
    <w:p w14:paraId="72B99EF4">
      <w:pPr>
        <w:pageBreakBefore w:val="0"/>
        <w:widowControl w:val="0"/>
        <w:shd w:val="clear"/>
        <w:kinsoku/>
        <w:wordWrap/>
        <w:overflowPunct/>
        <w:topLinePunct w:val="0"/>
        <w:autoSpaceDE/>
        <w:autoSpaceDN/>
        <w:bidi w:val="0"/>
        <w:adjustRightInd/>
        <w:snapToGrid/>
        <w:spacing w:line="360" w:lineRule="auto"/>
        <w:ind w:firstLine="360"/>
        <w:contextualSpacing/>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项目需求</w:t>
      </w:r>
    </w:p>
    <w:p w14:paraId="74328C3E">
      <w:pPr>
        <w:pageBreakBefore w:val="0"/>
        <w:widowControl w:val="0"/>
        <w:shd w:val="clear"/>
        <w:kinsoku/>
        <w:wordWrap/>
        <w:overflowPunct/>
        <w:topLinePunct w:val="0"/>
        <w:autoSpaceDE/>
        <w:autoSpaceDN/>
        <w:bidi w:val="0"/>
        <w:adjustRightInd/>
        <w:snapToGrid/>
        <w:spacing w:line="360" w:lineRule="auto"/>
        <w:ind w:firstLine="36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（5）评标方法与评标标准</w:t>
      </w:r>
    </w:p>
    <w:p w14:paraId="0A5E7742">
      <w:pPr>
        <w:pageBreakBefore w:val="0"/>
        <w:widowControl w:val="0"/>
        <w:shd w:val="clear"/>
        <w:kinsoku/>
        <w:wordWrap/>
        <w:overflowPunct/>
        <w:topLinePunct w:val="0"/>
        <w:autoSpaceDE/>
        <w:autoSpaceDN/>
        <w:bidi w:val="0"/>
        <w:adjustRightInd/>
        <w:snapToGrid/>
        <w:spacing w:line="360" w:lineRule="auto"/>
        <w:ind w:firstLine="36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（6）投标文件格式</w:t>
      </w:r>
    </w:p>
    <w:p w14:paraId="38A3A3F5">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请仔细检查招标文件是否齐全，如有缺漏请立即与招标代理机构联系解决。</w:t>
      </w:r>
    </w:p>
    <w:p w14:paraId="4103D962">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6.2</w:t>
      </w:r>
      <w:r>
        <w:rPr>
          <w:rFonts w:hint="eastAsia" w:ascii="宋体" w:hAnsi="宋体" w:cs="宋体"/>
          <w:color w:val="000000" w:themeColor="text1"/>
          <w:sz w:val="24"/>
          <w:highlight w:val="none"/>
          <w14:textFill>
            <w14:solidFill>
              <w14:schemeClr w14:val="tx1"/>
            </w14:solidFill>
          </w14:textFill>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918CDC4">
      <w:pPr>
        <w:pStyle w:val="645"/>
        <w:pageBreakBefore w:val="0"/>
        <w:widowControl w:val="0"/>
        <w:shd w:val="clear"/>
        <w:kinsoku/>
        <w:wordWrap/>
        <w:overflowPunct/>
        <w:topLinePunct w:val="0"/>
        <w:autoSpaceDE/>
        <w:autoSpaceDN/>
        <w:bidi w:val="0"/>
        <w:adjustRightInd/>
        <w:snapToGrid/>
        <w:spacing w:before="0" w:after="0" w:line="360" w:lineRule="auto"/>
        <w:ind w:firstLine="560"/>
        <w:contextualSpacing/>
        <w:textAlignment w:val="auto"/>
        <w:rPr>
          <w:rFonts w:ascii="宋体" w:hAnsi="宋体" w:cs="宋体"/>
          <w:b w:val="0"/>
          <w:bCs w:val="0"/>
          <w:color w:val="000000" w:themeColor="text1"/>
          <w:highlight w:val="none"/>
          <w14:textFill>
            <w14:solidFill>
              <w14:schemeClr w14:val="tx1"/>
            </w14:solidFill>
          </w14:textFill>
        </w:rPr>
      </w:pPr>
      <w:bookmarkStart w:id="50" w:name="_Toc513029211"/>
      <w:bookmarkStart w:id="51" w:name="_Toc20823283"/>
      <w:bookmarkStart w:id="52" w:name="_Toc462564070"/>
      <w:bookmarkStart w:id="53" w:name="_Toc16938527"/>
      <w:r>
        <w:rPr>
          <w:rFonts w:hint="eastAsia" w:ascii="宋体" w:hAnsi="宋体" w:eastAsia="宋体" w:cs="宋体"/>
          <w:b w:val="0"/>
          <w:bCs w:val="0"/>
          <w:color w:val="000000" w:themeColor="text1"/>
          <w:highlight w:val="none"/>
          <w14:textFill>
            <w14:solidFill>
              <w14:schemeClr w14:val="tx1"/>
            </w14:solidFill>
          </w14:textFill>
        </w:rPr>
        <w:t>7、招标文件的澄清</w:t>
      </w:r>
      <w:bookmarkEnd w:id="50"/>
      <w:bookmarkEnd w:id="51"/>
      <w:bookmarkEnd w:id="52"/>
      <w:bookmarkEnd w:id="53"/>
    </w:p>
    <w:p w14:paraId="7B4800A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7.1</w:t>
      </w:r>
      <w:r>
        <w:rPr>
          <w:rFonts w:hint="eastAsia" w:ascii="宋体" w:hAnsi="宋体" w:cs="宋体"/>
          <w:color w:val="000000" w:themeColor="text1"/>
          <w:sz w:val="24"/>
          <w:highlight w:val="none"/>
          <w14:textFill>
            <w14:solidFill>
              <w14:schemeClr w14:val="tx1"/>
            </w14:solidFill>
          </w14:textFill>
        </w:rPr>
        <w:t>任何要求对招标文件进行澄清的投标人，应在投标截止期</w:t>
      </w:r>
      <w:r>
        <w:rPr>
          <w:rFonts w:hint="eastAsia" w:ascii="宋体" w:hAnsi="宋体" w:cs="宋体"/>
          <w:b/>
          <w:color w:val="000000" w:themeColor="text1"/>
          <w:sz w:val="24"/>
          <w:szCs w:val="24"/>
          <w:highlight w:val="none"/>
          <w14:textFill>
            <w14:solidFill>
              <w14:schemeClr w14:val="tx1"/>
            </w14:solidFill>
          </w14:textFill>
        </w:rPr>
        <w:t>十日</w:t>
      </w:r>
      <w:r>
        <w:rPr>
          <w:rFonts w:hint="eastAsia" w:ascii="宋体" w:hAnsi="宋体" w:cs="宋体"/>
          <w:color w:val="000000" w:themeColor="text1"/>
          <w:sz w:val="24"/>
          <w:szCs w:val="24"/>
          <w:highlight w:val="none"/>
          <w14:textFill>
            <w14:solidFill>
              <w14:schemeClr w14:val="tx1"/>
            </w14:solidFill>
          </w14:textFill>
        </w:rPr>
        <w:t>前</w:t>
      </w:r>
      <w:r>
        <w:rPr>
          <w:rFonts w:hint="eastAsia" w:ascii="宋体" w:hAnsi="宋体" w:cs="宋体"/>
          <w:color w:val="000000" w:themeColor="text1"/>
          <w:sz w:val="24"/>
          <w:highlight w:val="none"/>
          <w14:textFill>
            <w14:solidFill>
              <w14:schemeClr w14:val="tx1"/>
            </w14:solidFill>
          </w14:textFill>
        </w:rPr>
        <w:t>按招标公告中的通讯地址，以书面形式通知招标代理机构。</w:t>
      </w:r>
    </w:p>
    <w:p w14:paraId="0EE102CB">
      <w:pPr>
        <w:pStyle w:val="645"/>
        <w:pageBreakBefore w:val="0"/>
        <w:widowControl w:val="0"/>
        <w:shd w:val="clear"/>
        <w:kinsoku/>
        <w:wordWrap/>
        <w:overflowPunct/>
        <w:topLinePunct w:val="0"/>
        <w:autoSpaceDE/>
        <w:autoSpaceDN/>
        <w:bidi w:val="0"/>
        <w:adjustRightInd/>
        <w:snapToGrid/>
        <w:spacing w:before="0" w:after="0" w:line="360" w:lineRule="auto"/>
        <w:ind w:firstLine="560"/>
        <w:contextualSpacing/>
        <w:textAlignment w:val="auto"/>
        <w:rPr>
          <w:rFonts w:ascii="宋体" w:hAnsi="宋体" w:cs="宋体"/>
          <w:b w:val="0"/>
          <w:bCs w:val="0"/>
          <w:color w:val="000000" w:themeColor="text1"/>
          <w:highlight w:val="none"/>
          <w14:textFill>
            <w14:solidFill>
              <w14:schemeClr w14:val="tx1"/>
            </w14:solidFill>
          </w14:textFill>
        </w:rPr>
      </w:pPr>
      <w:bookmarkStart w:id="54" w:name="_Toc20823284"/>
      <w:bookmarkStart w:id="55" w:name="_Toc462564071"/>
      <w:bookmarkStart w:id="56" w:name="_Toc16938528"/>
      <w:bookmarkStart w:id="57" w:name="_Toc513029212"/>
      <w:r>
        <w:rPr>
          <w:rFonts w:hint="eastAsia" w:ascii="宋体" w:hAnsi="宋体" w:eastAsia="宋体" w:cs="宋体"/>
          <w:b w:val="0"/>
          <w:bCs w:val="0"/>
          <w:color w:val="000000" w:themeColor="text1"/>
          <w:highlight w:val="none"/>
          <w14:textFill>
            <w14:solidFill>
              <w14:schemeClr w14:val="tx1"/>
            </w14:solidFill>
          </w14:textFill>
        </w:rPr>
        <w:t>8、招标文件的修改</w:t>
      </w:r>
      <w:bookmarkEnd w:id="54"/>
      <w:bookmarkEnd w:id="55"/>
      <w:bookmarkEnd w:id="56"/>
      <w:bookmarkEnd w:id="57"/>
    </w:p>
    <w:p w14:paraId="0F863257">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8.1</w:t>
      </w:r>
      <w:r>
        <w:rPr>
          <w:rFonts w:hint="eastAsia" w:ascii="宋体" w:hAnsi="宋体" w:cs="宋体"/>
          <w:color w:val="000000" w:themeColor="text1"/>
          <w:sz w:val="24"/>
          <w:highlight w:val="none"/>
          <w14:textFill>
            <w14:solidFill>
              <w14:schemeClr w14:val="tx1"/>
            </w14:solidFill>
          </w14:textFill>
        </w:rPr>
        <w:t>在投标截止时间前，招标代理机构可以对招标文件进行修改。</w:t>
      </w:r>
    </w:p>
    <w:p w14:paraId="6F0B3A42">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8"/>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8.2</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有权按照法定的要求</w:t>
      </w:r>
      <w:r>
        <w:rPr>
          <w:rFonts w:hint="eastAsia" w:ascii="宋体" w:hAnsi="宋体" w:cs="宋体"/>
          <w:color w:val="000000" w:themeColor="text1"/>
          <w:sz w:val="24"/>
          <w:highlight w:val="none"/>
          <w14:textFill>
            <w14:solidFill>
              <w14:schemeClr w14:val="tx1"/>
            </w14:solidFill>
          </w14:textFill>
        </w:rPr>
        <w:t>推迟投标截止日期和开标日期。</w:t>
      </w:r>
    </w:p>
    <w:p w14:paraId="35DC84A3">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8.3</w:t>
      </w:r>
      <w:r>
        <w:rPr>
          <w:rFonts w:hint="eastAsia" w:ascii="宋体" w:hAnsi="宋体" w:cs="宋体"/>
          <w:color w:val="000000" w:themeColor="text1"/>
          <w:sz w:val="24"/>
          <w:highlight w:val="none"/>
          <w14:textFill>
            <w14:solidFill>
              <w14:schemeClr w14:val="tx1"/>
            </w14:solidFill>
          </w14:textFill>
        </w:rPr>
        <w:t>招标文件的修改将在江苏政府采购网公布，</w:t>
      </w:r>
      <w:r>
        <w:rPr>
          <w:rFonts w:hint="eastAsia" w:ascii="宋体" w:hAnsi="宋体" w:cs="宋体"/>
          <w:color w:val="000000" w:themeColor="text1"/>
          <w:sz w:val="24"/>
          <w:szCs w:val="24"/>
          <w:highlight w:val="none"/>
          <w14:textFill>
            <w14:solidFill>
              <w14:schemeClr w14:val="tx1"/>
            </w14:solidFill>
          </w14:textFill>
        </w:rPr>
        <w:t>补充文件将作为招标文件的组成部分，</w:t>
      </w:r>
      <w:r>
        <w:rPr>
          <w:rFonts w:hint="eastAsia" w:ascii="宋体" w:hAnsi="宋体" w:cs="宋体"/>
          <w:color w:val="000000" w:themeColor="text1"/>
          <w:sz w:val="24"/>
          <w:highlight w:val="none"/>
          <w14:textFill>
            <w14:solidFill>
              <w14:schemeClr w14:val="tx1"/>
            </w14:solidFill>
          </w14:textFill>
        </w:rPr>
        <w:t>并对投标人具有约束力。</w:t>
      </w:r>
    </w:p>
    <w:p w14:paraId="7EE5DECF">
      <w:pPr>
        <w:pStyle w:val="642"/>
        <w:pageBreakBefore w:val="0"/>
        <w:widowControl w:val="0"/>
        <w:shd w:val="clear"/>
        <w:kinsoku/>
        <w:wordWrap/>
        <w:overflowPunct/>
        <w:topLinePunct w:val="0"/>
        <w:autoSpaceDE/>
        <w:autoSpaceDN/>
        <w:bidi w:val="0"/>
        <w:adjustRightInd/>
        <w:snapToGrid/>
        <w:spacing w:before="0" w:after="0" w:line="360" w:lineRule="auto"/>
        <w:ind w:firstLine="482"/>
        <w:contextualSpacing/>
        <w:textAlignment w:val="auto"/>
        <w:rPr>
          <w:rFonts w:ascii="宋体" w:hAnsi="宋体" w:cs="宋体"/>
          <w:color w:val="000000" w:themeColor="text1"/>
          <w:highlight w:val="none"/>
          <w14:textFill>
            <w14:solidFill>
              <w14:schemeClr w14:val="tx1"/>
            </w14:solidFill>
          </w14:textFill>
        </w:rPr>
      </w:pPr>
      <w:bookmarkStart w:id="58" w:name="_Toc120614216"/>
      <w:bookmarkStart w:id="59" w:name="_Toc16938529"/>
      <w:bookmarkStart w:id="60" w:name="_Toc20823285"/>
      <w:bookmarkStart w:id="61" w:name="_Toc513029213"/>
      <w:bookmarkStart w:id="62" w:name="_Toc462564072"/>
      <w:r>
        <w:rPr>
          <w:rFonts w:hint="eastAsia" w:ascii="宋体" w:hAnsi="宋体" w:cs="宋体"/>
          <w:color w:val="000000" w:themeColor="text1"/>
          <w:highlight w:val="none"/>
          <w14:textFill>
            <w14:solidFill>
              <w14:schemeClr w14:val="tx1"/>
            </w14:solidFill>
          </w14:textFill>
        </w:rPr>
        <w:t>三、投标文件的编制</w:t>
      </w:r>
      <w:bookmarkEnd w:id="58"/>
      <w:bookmarkEnd w:id="59"/>
      <w:bookmarkEnd w:id="60"/>
      <w:bookmarkEnd w:id="61"/>
      <w:bookmarkEnd w:id="62"/>
    </w:p>
    <w:p w14:paraId="4DEC50F5">
      <w:pPr>
        <w:pStyle w:val="645"/>
        <w:pageBreakBefore w:val="0"/>
        <w:widowControl w:val="0"/>
        <w:shd w:val="clear"/>
        <w:kinsoku/>
        <w:wordWrap/>
        <w:overflowPunct/>
        <w:topLinePunct w:val="0"/>
        <w:autoSpaceDE/>
        <w:autoSpaceDN/>
        <w:bidi w:val="0"/>
        <w:adjustRightInd/>
        <w:snapToGrid/>
        <w:spacing w:before="0" w:after="0" w:line="360" w:lineRule="auto"/>
        <w:ind w:firstLine="560"/>
        <w:contextualSpacing/>
        <w:textAlignment w:val="auto"/>
        <w:rPr>
          <w:rFonts w:ascii="宋体" w:hAnsi="宋体" w:cs="宋体"/>
          <w:bCs w:val="0"/>
          <w:color w:val="000000" w:themeColor="text1"/>
          <w:highlight w:val="none"/>
          <w14:textFill>
            <w14:solidFill>
              <w14:schemeClr w14:val="tx1"/>
            </w14:solidFill>
          </w14:textFill>
        </w:rPr>
      </w:pPr>
      <w:bookmarkStart w:id="63" w:name="_Toc16938530"/>
      <w:bookmarkStart w:id="64" w:name="_Toc462564073"/>
      <w:bookmarkStart w:id="65" w:name="_Toc513029214"/>
      <w:bookmarkStart w:id="66" w:name="_Toc20823286"/>
      <w:r>
        <w:rPr>
          <w:rFonts w:hint="eastAsia" w:ascii="宋体" w:hAnsi="宋体" w:eastAsia="宋体" w:cs="宋体"/>
          <w:b w:val="0"/>
          <w:bCs w:val="0"/>
          <w:color w:val="000000" w:themeColor="text1"/>
          <w:highlight w:val="none"/>
          <w14:textFill>
            <w14:solidFill>
              <w14:schemeClr w14:val="tx1"/>
            </w14:solidFill>
          </w14:textFill>
        </w:rPr>
        <w:t>9、投标文件的语言及度量衡单位</w:t>
      </w:r>
      <w:bookmarkEnd w:id="63"/>
      <w:bookmarkEnd w:id="64"/>
      <w:bookmarkEnd w:id="65"/>
      <w:bookmarkEnd w:id="66"/>
    </w:p>
    <w:p w14:paraId="14CA6E99">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9.1</w:t>
      </w:r>
      <w:r>
        <w:rPr>
          <w:rFonts w:hint="eastAsia" w:ascii="宋体" w:hAnsi="宋体" w:cs="宋体"/>
          <w:color w:val="000000" w:themeColor="text1"/>
          <w:sz w:val="24"/>
          <w:highlight w:val="none"/>
          <w14:textFill>
            <w14:solidFill>
              <w14:schemeClr w14:val="tx1"/>
            </w14:solidFill>
          </w14:textFill>
        </w:rPr>
        <w:t>投标人提交的投标文件以及投标人与招标代理机构就有关投标的所有来往通知、函件和文件均应使用</w:t>
      </w:r>
      <w:r>
        <w:rPr>
          <w:rFonts w:hint="eastAsia" w:ascii="宋体" w:hAnsi="宋体" w:cs="宋体"/>
          <w:b/>
          <w:bCs/>
          <w:color w:val="000000" w:themeColor="text1"/>
          <w:sz w:val="24"/>
          <w:highlight w:val="none"/>
          <w14:textFill>
            <w14:solidFill>
              <w14:schemeClr w14:val="tx1"/>
            </w14:solidFill>
          </w14:textFill>
        </w:rPr>
        <w:t>简体中文</w:t>
      </w:r>
      <w:r>
        <w:rPr>
          <w:rFonts w:hint="eastAsia" w:ascii="宋体" w:hAnsi="宋体" w:cs="宋体"/>
          <w:color w:val="000000" w:themeColor="text1"/>
          <w:sz w:val="24"/>
          <w:highlight w:val="none"/>
          <w14:textFill>
            <w14:solidFill>
              <w14:schemeClr w14:val="tx1"/>
            </w14:solidFill>
          </w14:textFill>
        </w:rPr>
        <w:t>。</w:t>
      </w:r>
    </w:p>
    <w:p w14:paraId="2D3518CA">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9.2</w:t>
      </w:r>
      <w:r>
        <w:rPr>
          <w:rFonts w:hint="eastAsia" w:ascii="宋体" w:hAnsi="宋体" w:cs="宋体"/>
          <w:color w:val="000000" w:themeColor="text1"/>
          <w:sz w:val="24"/>
          <w:highlight w:val="none"/>
          <w14:textFill>
            <w14:solidFill>
              <w14:schemeClr w14:val="tx1"/>
            </w14:solidFill>
          </w14:textFill>
        </w:rPr>
        <w:t>除技术性能另有规定外，投标文件所使用的度量衡单位，均须采用国家法定计量单位。</w:t>
      </w:r>
    </w:p>
    <w:p w14:paraId="4E8BF9EF">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67" w:name="_Toc20823287"/>
      <w:bookmarkStart w:id="68" w:name="_Toc513029215"/>
      <w:bookmarkStart w:id="69" w:name="_Toc16938531"/>
      <w:bookmarkStart w:id="70" w:name="_Toc462564074"/>
      <w:r>
        <w:rPr>
          <w:rFonts w:hint="eastAsia" w:ascii="宋体" w:hAnsi="宋体" w:eastAsia="宋体" w:cs="宋体"/>
          <w:b w:val="0"/>
          <w:bCs w:val="0"/>
          <w:color w:val="000000" w:themeColor="text1"/>
          <w:highlight w:val="none"/>
          <w14:textFill>
            <w14:solidFill>
              <w14:schemeClr w14:val="tx1"/>
            </w14:solidFill>
          </w14:textFill>
        </w:rPr>
        <w:t>10、投标文件构成</w:t>
      </w:r>
      <w:bookmarkEnd w:id="67"/>
      <w:bookmarkEnd w:id="68"/>
      <w:bookmarkEnd w:id="69"/>
      <w:bookmarkEnd w:id="70"/>
    </w:p>
    <w:p w14:paraId="76EAC24A">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10.1</w:t>
      </w:r>
      <w:r>
        <w:rPr>
          <w:rFonts w:hint="eastAsia" w:ascii="宋体" w:hAnsi="宋体" w:cs="宋体"/>
          <w:color w:val="000000" w:themeColor="text1"/>
          <w:sz w:val="24"/>
          <w:highlight w:val="none"/>
          <w14:textFill>
            <w14:solidFill>
              <w14:schemeClr w14:val="tx1"/>
            </w14:solidFill>
          </w14:textFill>
        </w:rPr>
        <w:t>投标人编写的投标文件应包括资格证明文件、符合性证明文件、投标分项报价表、技术要求响应及偏离表、商务要求响应及偏离表、其他证明文件、投标函、开标一览表等部分。</w:t>
      </w:r>
    </w:p>
    <w:p w14:paraId="06513AD3">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10.2如标书制作工具中格式和内容与“江苏政府采购网”发布的招标文件不一致，请以“江苏政府采购网”发布的招标文件为准。</w:t>
      </w:r>
    </w:p>
    <w:p w14:paraId="742BE377">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71" w:name="_Hlt26668975"/>
      <w:bookmarkEnd w:id="71"/>
      <w:bookmarkStart w:id="72" w:name="_Hlt26954838"/>
      <w:bookmarkEnd w:id="72"/>
      <w:bookmarkStart w:id="73" w:name="_Hlt26670360"/>
      <w:bookmarkEnd w:id="73"/>
      <w:bookmarkStart w:id="74" w:name="_Toc513029216"/>
      <w:bookmarkStart w:id="75" w:name="_Toc14577357"/>
      <w:bookmarkStart w:id="76" w:name="_Toc14577354"/>
      <w:bookmarkStart w:id="77" w:name="_Toc513029219"/>
      <w:bookmarkStart w:id="78" w:name="_Toc49090509"/>
      <w:bookmarkStart w:id="79" w:name="_Toc49090507"/>
      <w:r>
        <w:rPr>
          <w:rFonts w:hint="eastAsia" w:ascii="宋体" w:hAnsi="宋体" w:eastAsia="宋体" w:cs="宋体"/>
          <w:b w:val="0"/>
          <w:bCs w:val="0"/>
          <w:color w:val="000000" w:themeColor="text1"/>
          <w:highlight w:val="none"/>
          <w14:textFill>
            <w14:solidFill>
              <w14:schemeClr w14:val="tx1"/>
            </w14:solidFill>
          </w14:textFill>
        </w:rPr>
        <w:t>11、证明投标人及投标标的符合招标文件规定的文件</w:t>
      </w:r>
      <w:bookmarkEnd w:id="74"/>
      <w:bookmarkEnd w:id="75"/>
      <w:bookmarkEnd w:id="76"/>
      <w:bookmarkEnd w:id="77"/>
      <w:bookmarkEnd w:id="78"/>
      <w:bookmarkEnd w:id="79"/>
    </w:p>
    <w:p w14:paraId="52BC6302">
      <w:pPr>
        <w:pageBreakBefore w:val="0"/>
        <w:widowControl w:val="0"/>
        <w:shd w:val="clear"/>
        <w:kinsoku/>
        <w:wordWrap/>
        <w:overflowPunct/>
        <w:topLinePunct w:val="0"/>
        <w:autoSpaceDE/>
        <w:autoSpaceDN/>
        <w:bidi w:val="0"/>
        <w:adjustRightInd/>
        <w:snapToGrid/>
        <w:spacing w:line="360" w:lineRule="auto"/>
        <w:contextualSpacing/>
        <w:textAlignment w:val="auto"/>
        <w:rPr>
          <w:rFonts w:ascii="宋体" w:hAnsi="宋体" w:cs="宋体"/>
          <w:color w:val="000000" w:themeColor="text1"/>
          <w:sz w:val="24"/>
          <w:szCs w:val="24"/>
          <w:highlight w:val="none"/>
          <w14:textFill>
            <w14:solidFill>
              <w14:schemeClr w14:val="tx1"/>
            </w14:solidFill>
          </w14:textFill>
        </w:rPr>
      </w:pPr>
      <w:bookmarkStart w:id="80" w:name="_Toc14577355"/>
      <w:bookmarkStart w:id="81" w:name="_Toc49090508"/>
      <w:r>
        <w:rPr>
          <w:rFonts w:hint="eastAsia" w:ascii="宋体" w:hAnsi="宋体" w:cs="宋体"/>
          <w:color w:val="000000" w:themeColor="text1"/>
          <w:sz w:val="24"/>
          <w:szCs w:val="24"/>
          <w:highlight w:val="none"/>
          <w14:textFill>
            <w14:solidFill>
              <w14:schemeClr w14:val="tx1"/>
            </w14:solidFill>
          </w14:textFill>
        </w:rPr>
        <w:t xml:space="preserve">    11.1投标人应按照法律、法规、规章和规范性文件以及招标文件要求提交证明文件，证明其及投标标的符合招标文件规定。</w:t>
      </w:r>
    </w:p>
    <w:p w14:paraId="3F81DE9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11.2招标文件对证明文件无明确形式要求的，证明文件可以以文字资料、图纸和数据等形式提交。</w:t>
      </w:r>
    </w:p>
    <w:p w14:paraId="00AF2015">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12、投标分项报价</w:t>
      </w:r>
      <w:bookmarkEnd w:id="80"/>
      <w:bookmarkStart w:id="82" w:name="_Hlt26670373"/>
      <w:bookmarkEnd w:id="82"/>
      <w:r>
        <w:rPr>
          <w:rFonts w:hint="eastAsia" w:ascii="宋体" w:hAnsi="宋体" w:eastAsia="宋体" w:cs="宋体"/>
          <w:b w:val="0"/>
          <w:bCs w:val="0"/>
          <w:color w:val="000000" w:themeColor="text1"/>
          <w:highlight w:val="none"/>
          <w14:textFill>
            <w14:solidFill>
              <w14:schemeClr w14:val="tx1"/>
            </w14:solidFill>
          </w14:textFill>
        </w:rPr>
        <w:t>表</w:t>
      </w:r>
      <w:bookmarkEnd w:id="81"/>
    </w:p>
    <w:p w14:paraId="1A7E164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12.1</w:t>
      </w:r>
      <w:r>
        <w:rPr>
          <w:rFonts w:hint="eastAsia" w:ascii="宋体" w:hAnsi="宋体" w:cs="宋体"/>
          <w:color w:val="000000" w:themeColor="text1"/>
          <w:sz w:val="24"/>
          <w:highlight w:val="none"/>
          <w14:textFill>
            <w14:solidFill>
              <w14:schemeClr w14:val="tx1"/>
            </w14:solidFill>
          </w14:textFill>
        </w:rPr>
        <w:t>投</w:t>
      </w:r>
      <w:bookmarkStart w:id="83" w:name="_Hlt26954840"/>
      <w:bookmarkEnd w:id="83"/>
      <w:r>
        <w:rPr>
          <w:rFonts w:hint="eastAsia" w:ascii="宋体" w:hAnsi="宋体" w:cs="宋体"/>
          <w:color w:val="000000" w:themeColor="text1"/>
          <w:sz w:val="24"/>
          <w:highlight w:val="none"/>
          <w14:textFill>
            <w14:solidFill>
              <w14:schemeClr w14:val="tx1"/>
            </w14:solidFill>
          </w14:textFill>
        </w:rPr>
        <w:t>标人应按照招标文件规定格式填报投标分项报价表</w:t>
      </w:r>
      <w:bookmarkStart w:id="84" w:name="_Hlt26670399"/>
      <w:bookmarkEnd w:id="84"/>
      <w:r>
        <w:rPr>
          <w:rFonts w:hint="eastAsia" w:ascii="宋体" w:hAnsi="宋体" w:cs="宋体"/>
          <w:color w:val="000000" w:themeColor="text1"/>
          <w:sz w:val="24"/>
          <w:highlight w:val="none"/>
          <w14:textFill>
            <w14:solidFill>
              <w14:schemeClr w14:val="tx1"/>
            </w14:solidFill>
          </w14:textFill>
        </w:rPr>
        <w:t>。</w:t>
      </w:r>
    </w:p>
    <w:p w14:paraId="17E263ED">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12.2</w:t>
      </w:r>
      <w:r>
        <w:rPr>
          <w:rFonts w:hint="eastAsia" w:ascii="宋体" w:hAnsi="宋体" w:cs="宋体"/>
          <w:bCs/>
          <w:color w:val="000000" w:themeColor="text1"/>
          <w:sz w:val="24"/>
          <w:highlight w:val="none"/>
          <w14:textFill>
            <w14:solidFill>
              <w14:schemeClr w14:val="tx1"/>
            </w14:solidFill>
          </w14:textFill>
        </w:rPr>
        <w:t>投标货币。投标文件中的单价和总价无特殊规定的采用人民币报价，以元为单位标注。</w:t>
      </w:r>
      <w:r>
        <w:rPr>
          <w:rFonts w:hint="eastAsia" w:ascii="宋体" w:hAnsi="宋体" w:cs="宋体"/>
          <w:color w:val="000000" w:themeColor="text1"/>
          <w:sz w:val="24"/>
          <w:highlight w:val="none"/>
          <w14:textFill>
            <w14:solidFill>
              <w14:schemeClr w14:val="tx1"/>
            </w14:solidFill>
          </w14:textFill>
        </w:rPr>
        <w:t>招标文件中另有规定的按规定执行。</w:t>
      </w:r>
    </w:p>
    <w:p w14:paraId="260D1F9E">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85" w:name="_Hlt26954846"/>
      <w:bookmarkEnd w:id="85"/>
      <w:bookmarkStart w:id="86" w:name="_Hlt26954842"/>
      <w:bookmarkEnd w:id="86"/>
      <w:bookmarkStart w:id="87" w:name="_Hlt26670482"/>
      <w:bookmarkEnd w:id="87"/>
      <w:bookmarkStart w:id="88" w:name="_Hlt26670403"/>
      <w:bookmarkEnd w:id="88"/>
      <w:bookmarkStart w:id="89" w:name="_Hlt26954731"/>
      <w:bookmarkEnd w:id="89"/>
      <w:bookmarkStart w:id="90" w:name="_Hlt26670486"/>
      <w:bookmarkEnd w:id="90"/>
      <w:bookmarkStart w:id="91" w:name="_Hlt26954844"/>
      <w:bookmarkEnd w:id="91"/>
      <w:bookmarkStart w:id="92" w:name="_Hlt26670425"/>
      <w:bookmarkEnd w:id="92"/>
      <w:bookmarkStart w:id="93" w:name="_Hlt26668983"/>
      <w:bookmarkEnd w:id="93"/>
      <w:bookmarkStart w:id="94" w:name="_Hlt26954848"/>
      <w:bookmarkEnd w:id="94"/>
      <w:r>
        <w:rPr>
          <w:rFonts w:hint="eastAsia" w:ascii="宋体" w:hAnsi="宋体" w:eastAsia="宋体" w:cs="宋体"/>
          <w:b w:val="0"/>
          <w:bCs w:val="0"/>
          <w:color w:val="000000" w:themeColor="text1"/>
          <w:highlight w:val="none"/>
          <w14:textFill>
            <w14:solidFill>
              <w14:schemeClr w14:val="tx1"/>
            </w14:solidFill>
          </w14:textFill>
        </w:rPr>
        <w:t>13、技术要求响应及偏离表、商务要求响应及偏离表</w:t>
      </w:r>
    </w:p>
    <w:p w14:paraId="44253A17">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ascii="宋体" w:hAnsi="宋体" w:cs="宋体"/>
          <w:bCs/>
          <w:color w:val="000000" w:themeColor="text1"/>
          <w:sz w:val="24"/>
          <w:highlight w:val="none"/>
          <w:lang w:val="zh-CN"/>
          <w14:textFill>
            <w14:solidFill>
              <w14:schemeClr w14:val="tx1"/>
            </w14:solidFill>
          </w14:textFill>
        </w:rPr>
        <w:t>1</w:t>
      </w:r>
      <w:r>
        <w:rPr>
          <w:rFonts w:hint="eastAsia" w:ascii="宋体" w:hAnsi="宋体" w:cs="宋体"/>
          <w:bCs/>
          <w:color w:val="000000" w:themeColor="text1"/>
          <w:sz w:val="24"/>
          <w:highlight w:val="none"/>
          <w:lang w:val="zh-CN"/>
          <w14:textFill>
            <w14:solidFill>
              <w14:schemeClr w14:val="tx1"/>
            </w14:solidFill>
          </w14:textFill>
        </w:rPr>
        <w:t>3</w:t>
      </w:r>
      <w:r>
        <w:rPr>
          <w:rFonts w:ascii="宋体" w:hAnsi="宋体" w:cs="宋体"/>
          <w:bCs/>
          <w:color w:val="000000" w:themeColor="text1"/>
          <w:sz w:val="24"/>
          <w:highlight w:val="none"/>
          <w:lang w:val="zh-CN"/>
          <w14:textFill>
            <w14:solidFill>
              <w14:schemeClr w14:val="tx1"/>
            </w14:solidFill>
          </w14:textFill>
        </w:rPr>
        <w:t>.1</w:t>
      </w:r>
      <w:r>
        <w:rPr>
          <w:rFonts w:hint="eastAsia" w:ascii="宋体" w:hAnsi="宋体" w:cs="宋体"/>
          <w:color w:val="000000" w:themeColor="text1"/>
          <w:sz w:val="24"/>
          <w:highlight w:val="none"/>
          <w:lang w:val="zh-CN"/>
          <w14:textFill>
            <w14:solidFill>
              <w14:schemeClr w14:val="tx1"/>
            </w14:solidFill>
          </w14:textFill>
        </w:rPr>
        <w:t>投标人需对招标文件中的技术要求与商务要求逐项作出响应或偏离，并说明原因。</w:t>
      </w:r>
    </w:p>
    <w:p w14:paraId="4788E3F5">
      <w:pPr>
        <w:pageBreakBefore w:val="0"/>
        <w:widowControl w:val="0"/>
        <w:shd w:val="clear"/>
        <w:tabs>
          <w:tab w:val="left" w:pos="1035"/>
        </w:tabs>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13.2投标人可在投标文件中提供认为需要的其他技术文件或说明。</w:t>
      </w:r>
    </w:p>
    <w:p w14:paraId="77FFB6C2">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95" w:name="_Toc14577359"/>
      <w:bookmarkStart w:id="96" w:name="_Toc49090510"/>
      <w:r>
        <w:rPr>
          <w:rFonts w:hint="eastAsia" w:ascii="宋体" w:hAnsi="宋体" w:eastAsia="宋体" w:cs="宋体"/>
          <w:b w:val="0"/>
          <w:bCs w:val="0"/>
          <w:color w:val="000000" w:themeColor="text1"/>
          <w:highlight w:val="none"/>
          <w14:textFill>
            <w14:solidFill>
              <w14:schemeClr w14:val="tx1"/>
            </w14:solidFill>
          </w14:textFill>
        </w:rPr>
        <w:t>14、投标函和开标一览表</w:t>
      </w:r>
    </w:p>
    <w:p w14:paraId="43C0C661">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14.1</w:t>
      </w:r>
      <w:r>
        <w:rPr>
          <w:rFonts w:hint="eastAsia" w:ascii="宋体" w:hAnsi="宋体" w:cs="宋体"/>
          <w:color w:val="000000" w:themeColor="text1"/>
          <w:sz w:val="24"/>
          <w:highlight w:val="none"/>
          <w14:textFill>
            <w14:solidFill>
              <w14:schemeClr w14:val="tx1"/>
            </w14:solidFill>
          </w14:textFill>
        </w:rPr>
        <w:t>投标人应按照招标文件中提供的格式完整、正确填写投标函、开标一览表。</w:t>
      </w:r>
    </w:p>
    <w:p w14:paraId="77BA0550">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14.2</w:t>
      </w:r>
      <w:r>
        <w:rPr>
          <w:rFonts w:hint="eastAsia" w:ascii="宋体" w:hAnsi="宋体" w:cs="宋体"/>
          <w:color w:val="000000" w:themeColor="text1"/>
          <w:sz w:val="24"/>
          <w:highlight w:val="none"/>
          <w14:textFill>
            <w14:solidFill>
              <w14:schemeClr w14:val="tx1"/>
            </w14:solidFill>
          </w14:textFill>
        </w:rPr>
        <w:t>对于采用货币报价的项目，</w:t>
      </w:r>
      <w:r>
        <w:rPr>
          <w:rFonts w:hint="eastAsia" w:ascii="宋体" w:hAnsi="宋体" w:cs="宋体"/>
          <w:bCs/>
          <w:color w:val="000000" w:themeColor="text1"/>
          <w:sz w:val="24"/>
          <w:highlight w:val="none"/>
          <w14:textFill>
            <w14:solidFill>
              <w14:schemeClr w14:val="tx1"/>
            </w14:solidFill>
          </w14:textFill>
        </w:rPr>
        <w:t>开标一览表中的投标总报价应与投标分项报价表中的投标总报价一致，如不一致，</w:t>
      </w:r>
      <w:r>
        <w:rPr>
          <w:rFonts w:hint="eastAsia" w:ascii="宋体" w:hAnsi="宋体" w:cs="宋体"/>
          <w:color w:val="000000" w:themeColor="text1"/>
          <w:sz w:val="24"/>
          <w:szCs w:val="24"/>
          <w:highlight w:val="none"/>
          <w14:textFill>
            <w14:solidFill>
              <w14:schemeClr w14:val="tx1"/>
            </w14:solidFill>
          </w14:textFill>
        </w:rPr>
        <w:t>不作为无效投标处理</w:t>
      </w:r>
      <w:r>
        <w:rPr>
          <w:rFonts w:hint="eastAsia" w:ascii="宋体" w:hAnsi="宋体" w:cs="宋体"/>
          <w:bCs/>
          <w:color w:val="000000" w:themeColor="text1"/>
          <w:sz w:val="24"/>
          <w:highlight w:val="none"/>
          <w14:textFill>
            <w14:solidFill>
              <w14:schemeClr w14:val="tx1"/>
            </w14:solidFill>
          </w14:textFill>
        </w:rPr>
        <w:t>，但评标时按开标一览表中价格为准</w:t>
      </w:r>
      <w:r>
        <w:rPr>
          <w:rFonts w:hint="eastAsia" w:ascii="宋体" w:hAnsi="宋体" w:cs="宋体"/>
          <w:b/>
          <w:bCs/>
          <w:color w:val="000000" w:themeColor="text1"/>
          <w:sz w:val="24"/>
          <w:highlight w:val="none"/>
          <w14:textFill>
            <w14:solidFill>
              <w14:schemeClr w14:val="tx1"/>
            </w14:solidFill>
          </w14:textFill>
        </w:rPr>
        <w:t>。</w:t>
      </w:r>
      <w:bookmarkEnd w:id="95"/>
      <w:bookmarkEnd w:id="96"/>
    </w:p>
    <w:p w14:paraId="1B125549">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97" w:name="_Hlt26670489"/>
      <w:bookmarkEnd w:id="97"/>
      <w:bookmarkStart w:id="98" w:name="_Hlt26954850"/>
      <w:bookmarkEnd w:id="98"/>
      <w:bookmarkStart w:id="99" w:name="_Hlt26954734"/>
      <w:bookmarkEnd w:id="99"/>
      <w:bookmarkStart w:id="100" w:name="_Toc49090511"/>
      <w:bookmarkStart w:id="101" w:name="_Toc14577360"/>
      <w:r>
        <w:rPr>
          <w:rFonts w:hint="eastAsia" w:ascii="宋体" w:hAnsi="宋体" w:eastAsia="宋体" w:cs="宋体"/>
          <w:b w:val="0"/>
          <w:bCs w:val="0"/>
          <w:color w:val="000000" w:themeColor="text1"/>
          <w:highlight w:val="none"/>
          <w14:textFill>
            <w14:solidFill>
              <w14:schemeClr w14:val="tx1"/>
            </w14:solidFill>
          </w14:textFill>
        </w:rPr>
        <w:t>15、投标有效期</w:t>
      </w:r>
      <w:bookmarkEnd w:id="100"/>
      <w:bookmarkEnd w:id="101"/>
    </w:p>
    <w:p w14:paraId="2FD36B0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15.1</w:t>
      </w:r>
      <w:r>
        <w:rPr>
          <w:rFonts w:hint="eastAsia" w:ascii="宋体" w:hAnsi="宋体" w:cs="宋体"/>
          <w:bCs/>
          <w:color w:val="000000" w:themeColor="text1"/>
          <w:sz w:val="24"/>
          <w:highlight w:val="none"/>
          <w14:textFill>
            <w14:solidFill>
              <w14:schemeClr w14:val="tx1"/>
            </w14:solidFill>
          </w14:textFill>
        </w:rPr>
        <w:t>投标有效期为</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bCs/>
          <w:color w:val="000000" w:themeColor="text1"/>
          <w:sz w:val="24"/>
          <w:highlight w:val="none"/>
          <w14:textFill>
            <w14:solidFill>
              <w14:schemeClr w14:val="tx1"/>
            </w14:solidFill>
          </w14:textFill>
        </w:rPr>
        <w:t>规定的开标之日后</w:t>
      </w:r>
      <w:r>
        <w:rPr>
          <w:rFonts w:hint="eastAsia" w:ascii="宋体" w:hAnsi="宋体" w:cs="宋体"/>
          <w:b/>
          <w:color w:val="000000" w:themeColor="text1"/>
          <w:sz w:val="24"/>
          <w:highlight w:val="none"/>
          <w:u w:val="single"/>
          <w14:textFill>
            <w14:solidFill>
              <w14:schemeClr w14:val="tx1"/>
            </w14:solidFill>
          </w14:textFill>
        </w:rPr>
        <w:t>六十（60）天</w:t>
      </w:r>
      <w:r>
        <w:rPr>
          <w:rFonts w:hint="eastAsia" w:ascii="宋体" w:hAnsi="宋体" w:cs="宋体"/>
          <w:bCs/>
          <w:color w:val="000000" w:themeColor="text1"/>
          <w:sz w:val="24"/>
          <w:highlight w:val="none"/>
          <w14:textFill>
            <w14:solidFill>
              <w14:schemeClr w14:val="tx1"/>
            </w14:solidFill>
          </w14:textFill>
        </w:rPr>
        <w:t>。投标有效期比规定短的将被视为未实质性响应招标</w:t>
      </w:r>
      <w:r>
        <w:rPr>
          <w:rFonts w:ascii="宋体" w:hAnsi="宋体" w:cs="宋体"/>
          <w:bCs/>
          <w:color w:val="000000" w:themeColor="text1"/>
          <w:sz w:val="24"/>
          <w:highlight w:val="none"/>
          <w14:textFill>
            <w14:solidFill>
              <w14:schemeClr w14:val="tx1"/>
            </w14:solidFill>
          </w14:textFill>
        </w:rPr>
        <w:t>文件</w:t>
      </w:r>
      <w:r>
        <w:rPr>
          <w:rFonts w:hint="eastAsia" w:ascii="宋体" w:hAnsi="宋体" w:cs="宋体"/>
          <w:bCs/>
          <w:color w:val="000000" w:themeColor="text1"/>
          <w:sz w:val="24"/>
          <w:highlight w:val="none"/>
          <w14:textFill>
            <w14:solidFill>
              <w14:schemeClr w14:val="tx1"/>
            </w14:solidFill>
          </w14:textFill>
        </w:rPr>
        <w:t>而予以拒绝。</w:t>
      </w:r>
    </w:p>
    <w:p w14:paraId="4DDC8379">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16、投标有效期的延长</w:t>
      </w:r>
    </w:p>
    <w:p w14:paraId="06B5217C">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16.1</w:t>
      </w:r>
      <w:r>
        <w:rPr>
          <w:rFonts w:hint="eastAsia" w:ascii="宋体" w:hAnsi="宋体" w:cs="宋体"/>
          <w:bCs/>
          <w:color w:val="000000" w:themeColor="text1"/>
          <w:sz w:val="24"/>
          <w:highlight w:val="none"/>
          <w14:textFill>
            <w14:solidFill>
              <w14:schemeClr w14:val="tx1"/>
            </w14:solidFill>
          </w14:textFill>
        </w:rPr>
        <w:t>在特殊情况下，</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bCs/>
          <w:color w:val="000000" w:themeColor="text1"/>
          <w:sz w:val="24"/>
          <w:highlight w:val="none"/>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bCs/>
          <w:color w:val="000000" w:themeColor="text1"/>
          <w:sz w:val="24"/>
          <w:highlight w:val="none"/>
          <w14:textFill>
            <w14:solidFill>
              <w14:schemeClr w14:val="tx1"/>
            </w14:solidFill>
          </w14:textFill>
        </w:rPr>
        <w:t>的这一要求而放弃投标</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同意延长投标有效期的投标人既不能要求也不允许修改其投标文件</w:t>
      </w:r>
      <w:r>
        <w:rPr>
          <w:rFonts w:hint="eastAsia" w:ascii="宋体" w:hAnsi="宋体" w:cs="宋体"/>
          <w:color w:val="000000" w:themeColor="text1"/>
          <w:sz w:val="24"/>
          <w:szCs w:val="24"/>
          <w:highlight w:val="none"/>
          <w14:textFill>
            <w14:solidFill>
              <w14:schemeClr w14:val="tx1"/>
            </w14:solidFill>
          </w14:textFill>
        </w:rPr>
        <w:t>，同时受投标有效期约束的所有权利与义务均延长至新的有效期</w:t>
      </w:r>
      <w:r>
        <w:rPr>
          <w:rFonts w:hint="eastAsia" w:ascii="宋体" w:hAnsi="宋体" w:cs="宋体"/>
          <w:bCs/>
          <w:color w:val="000000" w:themeColor="text1"/>
          <w:sz w:val="24"/>
          <w:highlight w:val="none"/>
          <w14:textFill>
            <w14:solidFill>
              <w14:schemeClr w14:val="tx1"/>
            </w14:solidFill>
          </w14:textFill>
        </w:rPr>
        <w:t>。</w:t>
      </w:r>
    </w:p>
    <w:p w14:paraId="5D5E3F4D">
      <w:pPr>
        <w:pStyle w:val="642"/>
        <w:pageBreakBefore w:val="0"/>
        <w:widowControl w:val="0"/>
        <w:shd w:val="clear"/>
        <w:kinsoku/>
        <w:wordWrap/>
        <w:overflowPunct/>
        <w:topLinePunct w:val="0"/>
        <w:autoSpaceDE/>
        <w:autoSpaceDN/>
        <w:bidi w:val="0"/>
        <w:adjustRightInd/>
        <w:snapToGrid/>
        <w:spacing w:before="0" w:after="0" w:line="360" w:lineRule="auto"/>
        <w:ind w:firstLine="482"/>
        <w:contextualSpacing/>
        <w:textAlignment w:val="auto"/>
        <w:rPr>
          <w:rFonts w:ascii="宋体" w:hAnsi="宋体" w:cs="宋体"/>
          <w:color w:val="000000" w:themeColor="text1"/>
          <w:highlight w:val="none"/>
          <w14:textFill>
            <w14:solidFill>
              <w14:schemeClr w14:val="tx1"/>
            </w14:solidFill>
          </w14:textFill>
        </w:rPr>
      </w:pPr>
      <w:bookmarkStart w:id="102" w:name="_Hlt26954852"/>
      <w:bookmarkEnd w:id="102"/>
      <w:bookmarkStart w:id="103" w:name="_Hlt26954739"/>
      <w:bookmarkEnd w:id="103"/>
      <w:bookmarkStart w:id="104" w:name="_Toc513029224"/>
      <w:bookmarkStart w:id="105" w:name="_Toc16938540"/>
      <w:bookmarkStart w:id="106" w:name="_Toc20823296"/>
      <w:bookmarkStart w:id="107" w:name="_Toc120614217"/>
      <w:r>
        <w:rPr>
          <w:rFonts w:hint="eastAsia" w:ascii="宋体" w:hAnsi="宋体" w:cs="宋体"/>
          <w:color w:val="000000" w:themeColor="text1"/>
          <w:highlight w:val="none"/>
          <w14:textFill>
            <w14:solidFill>
              <w14:schemeClr w14:val="tx1"/>
            </w14:solidFill>
          </w14:textFill>
        </w:rPr>
        <w:t>四、投标文件的递交</w:t>
      </w:r>
      <w:bookmarkEnd w:id="104"/>
      <w:bookmarkEnd w:id="105"/>
      <w:bookmarkEnd w:id="106"/>
      <w:bookmarkEnd w:id="107"/>
    </w:p>
    <w:p w14:paraId="72748B1A">
      <w:pPr>
        <w:pStyle w:val="645"/>
        <w:pageBreakBefore w:val="0"/>
        <w:widowControl w:val="0"/>
        <w:shd w:val="clear"/>
        <w:kinsoku/>
        <w:wordWrap/>
        <w:overflowPunct/>
        <w:topLinePunct w:val="0"/>
        <w:autoSpaceDE/>
        <w:autoSpaceDN/>
        <w:bidi w:val="0"/>
        <w:adjustRightInd/>
        <w:snapToGrid/>
        <w:spacing w:before="0" w:after="0" w:line="360" w:lineRule="auto"/>
        <w:ind w:firstLine="560"/>
        <w:contextualSpacing/>
        <w:textAlignment w:val="auto"/>
        <w:rPr>
          <w:rFonts w:ascii="宋体" w:hAnsi="宋体" w:cs="宋体"/>
          <w:b w:val="0"/>
          <w:bCs w:val="0"/>
          <w:color w:val="000000" w:themeColor="text1"/>
          <w:highlight w:val="none"/>
          <w14:textFill>
            <w14:solidFill>
              <w14:schemeClr w14:val="tx1"/>
            </w14:solidFill>
          </w14:textFill>
        </w:rPr>
      </w:pPr>
      <w:bookmarkStart w:id="108" w:name="_Toc16938541"/>
      <w:bookmarkStart w:id="109" w:name="_Toc20823297"/>
      <w:bookmarkStart w:id="110" w:name="_Toc513029225"/>
      <w:bookmarkStart w:id="111" w:name="_Toc462564084"/>
      <w:r>
        <w:rPr>
          <w:rFonts w:hint="eastAsia" w:ascii="宋体" w:hAnsi="宋体" w:eastAsia="宋体" w:cs="宋体"/>
          <w:b w:val="0"/>
          <w:bCs w:val="0"/>
          <w:color w:val="000000" w:themeColor="text1"/>
          <w:highlight w:val="none"/>
          <w14:textFill>
            <w14:solidFill>
              <w14:schemeClr w14:val="tx1"/>
            </w14:solidFill>
          </w14:textFill>
        </w:rPr>
        <w:t>17、投标文件</w:t>
      </w:r>
      <w:bookmarkEnd w:id="108"/>
      <w:bookmarkEnd w:id="109"/>
      <w:bookmarkEnd w:id="110"/>
      <w:bookmarkEnd w:id="111"/>
      <w:r>
        <w:rPr>
          <w:rFonts w:hint="eastAsia" w:ascii="宋体" w:hAnsi="宋体" w:eastAsia="宋体" w:cs="宋体"/>
          <w:b w:val="0"/>
          <w:bCs w:val="0"/>
          <w:color w:val="000000" w:themeColor="text1"/>
          <w:highlight w:val="none"/>
          <w14:textFill>
            <w14:solidFill>
              <w14:schemeClr w14:val="tx1"/>
            </w14:solidFill>
          </w14:textFill>
        </w:rPr>
        <w:t>的递交</w:t>
      </w:r>
    </w:p>
    <w:p w14:paraId="26F55B90">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17.1</w:t>
      </w:r>
      <w:r>
        <w:rPr>
          <w:rFonts w:hint="eastAsia" w:ascii="宋体" w:hAnsi="宋体" w:cs="宋体"/>
          <w:bCs/>
          <w:color w:val="000000" w:themeColor="text1"/>
          <w:sz w:val="24"/>
          <w:highlight w:val="none"/>
          <w14:textFill>
            <w14:solidFill>
              <w14:schemeClr w14:val="tx1"/>
            </w14:solidFill>
          </w14:textFill>
        </w:rPr>
        <w:t xml:space="preserve"> 电子投标文件的递交</w:t>
      </w:r>
    </w:p>
    <w:p w14:paraId="2BEDE7FE">
      <w:pPr>
        <w:pStyle w:val="527"/>
        <w:pageBreakBefore w:val="0"/>
        <w:widowControl w:val="0"/>
        <w:shd w:val="clear"/>
        <w:kinsoku/>
        <w:wordWrap/>
        <w:overflowPunct/>
        <w:topLinePunct w:val="0"/>
        <w:autoSpaceDE/>
        <w:autoSpaceDN/>
        <w:bidi w:val="0"/>
        <w:adjustRightInd/>
        <w:snapToGrid/>
        <w:spacing w:line="360" w:lineRule="auto"/>
        <w:ind w:left="525"/>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投标人应当按照《操作手册》规定，在投标截止时间前</w:t>
      </w:r>
      <w:r>
        <w:rPr>
          <w:rFonts w:ascii="宋体" w:hAnsi="宋体" w:eastAsia="宋体" w:cs="宋体"/>
          <w:bCs/>
          <w:color w:val="000000" w:themeColor="text1"/>
          <w:sz w:val="24"/>
          <w:highlight w:val="none"/>
          <w14:textFill>
            <w14:solidFill>
              <w14:schemeClr w14:val="tx1"/>
            </w14:solidFill>
          </w14:textFill>
        </w:rPr>
        <w:t>制作</w:t>
      </w:r>
      <w:r>
        <w:rPr>
          <w:rFonts w:hint="eastAsia" w:ascii="宋体" w:hAnsi="宋体" w:eastAsia="宋体" w:cs="宋体"/>
          <w:bCs/>
          <w:color w:val="000000" w:themeColor="text1"/>
          <w:sz w:val="24"/>
          <w:highlight w:val="none"/>
          <w14:textFill>
            <w14:solidFill>
              <w14:schemeClr w14:val="tx1"/>
            </w14:solidFill>
          </w14:textFill>
        </w:rPr>
        <w:t>并上传电子投标文件。</w:t>
      </w:r>
      <w:bookmarkStart w:id="112" w:name="_Toc513029226"/>
      <w:bookmarkStart w:id="113" w:name="_Toc20823298"/>
      <w:bookmarkStart w:id="114" w:name="_Toc16938542"/>
    </w:p>
    <w:p w14:paraId="2AC7F8D5">
      <w:pPr>
        <w:pStyle w:val="645"/>
        <w:pageBreakBefore w:val="0"/>
        <w:widowControl w:val="0"/>
        <w:shd w:val="clear"/>
        <w:kinsoku/>
        <w:wordWrap/>
        <w:overflowPunct/>
        <w:topLinePunct w:val="0"/>
        <w:autoSpaceDE/>
        <w:autoSpaceDN/>
        <w:bidi w:val="0"/>
        <w:adjustRightInd/>
        <w:snapToGrid/>
        <w:spacing w:before="0" w:after="0" w:line="360" w:lineRule="auto"/>
        <w:ind w:firstLine="560"/>
        <w:contextualSpacing/>
        <w:textAlignment w:val="auto"/>
        <w:rPr>
          <w:rFonts w:ascii="宋体" w:hAnsi="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18、投标截止</w:t>
      </w:r>
      <w:bookmarkEnd w:id="112"/>
      <w:bookmarkEnd w:id="113"/>
      <w:bookmarkEnd w:id="114"/>
      <w:r>
        <w:rPr>
          <w:rFonts w:hint="eastAsia" w:ascii="宋体" w:hAnsi="宋体" w:eastAsia="宋体" w:cs="宋体"/>
          <w:b w:val="0"/>
          <w:color w:val="000000" w:themeColor="text1"/>
          <w:highlight w:val="none"/>
          <w14:textFill>
            <w14:solidFill>
              <w14:schemeClr w14:val="tx1"/>
            </w14:solidFill>
          </w14:textFill>
        </w:rPr>
        <w:t>时间</w:t>
      </w:r>
    </w:p>
    <w:p w14:paraId="6A30E989">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i/>
          <w:color w:val="000000" w:themeColor="text1"/>
          <w:sz w:val="24"/>
          <w:highlight w:val="none"/>
          <w:u w:val="single"/>
          <w14:textFill>
            <w14:solidFill>
              <w14:schemeClr w14:val="tx1"/>
            </w14:solidFill>
          </w14:textFill>
        </w:rPr>
      </w:pPr>
      <w:r>
        <w:rPr>
          <w:rFonts w:hint="eastAsia" w:ascii="宋体" w:hAnsi="宋体" w:cs="宋体"/>
          <w:i/>
          <w:color w:val="000000" w:themeColor="text1"/>
          <w:sz w:val="24"/>
          <w:highlight w:val="none"/>
          <w:u w:val="single"/>
          <w14:textFill>
            <w14:solidFill>
              <w14:schemeClr w14:val="tx1"/>
            </w14:solidFill>
          </w14:textFill>
        </w:rPr>
        <w:t>18.1</w:t>
      </w:r>
      <w:r>
        <w:rPr>
          <w:rFonts w:hint="eastAsia" w:ascii="宋体" w:hAnsi="宋体" w:cs="宋体"/>
          <w:bCs/>
          <w:i/>
          <w:color w:val="000000" w:themeColor="text1"/>
          <w:sz w:val="24"/>
          <w:highlight w:val="none"/>
          <w:u w:val="single"/>
          <w14:textFill>
            <w14:solidFill>
              <w14:schemeClr w14:val="tx1"/>
            </w14:solidFill>
          </w14:textFill>
        </w:rPr>
        <w:t>投标人上传电子投标文件的时间不得迟于招标公告中规定的投标截止时间。</w:t>
      </w:r>
    </w:p>
    <w:p w14:paraId="402CC755">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投标人应充分考虑到网络环境、网络带宽等风险因素，如因投标人自身原因造成的电子投标文件上传不成功的按照本招标文件第二章第26.1.2条规定做无效投标处理。</w:t>
      </w:r>
    </w:p>
    <w:p w14:paraId="5DDD28EA">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18.2招标代理机构</w:t>
      </w:r>
      <w:r>
        <w:rPr>
          <w:rFonts w:hint="eastAsia" w:ascii="宋体" w:hAnsi="宋体" w:cs="宋体"/>
          <w:bCs/>
          <w:color w:val="000000" w:themeColor="text1"/>
          <w:sz w:val="24"/>
          <w:highlight w:val="none"/>
          <w14:textFill>
            <w14:solidFill>
              <w14:schemeClr w14:val="tx1"/>
            </w14:solidFill>
          </w14:textFill>
        </w:rPr>
        <w:t>可以按照规定，通过修改招标文件酌情延长投标截止时间，在此情况下，投标人的所有权利和义务以及投标人受制的截止时间均应以延长后新的截止时间为准。</w:t>
      </w:r>
    </w:p>
    <w:p w14:paraId="41F90898">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115" w:name="_Toc513029227"/>
      <w:bookmarkStart w:id="116" w:name="_Toc20823299"/>
      <w:bookmarkStart w:id="117" w:name="_Toc16938543"/>
      <w:r>
        <w:rPr>
          <w:rFonts w:hint="eastAsia" w:ascii="宋体" w:hAnsi="宋体" w:eastAsia="宋体" w:cs="宋体"/>
          <w:b w:val="0"/>
          <w:bCs w:val="0"/>
          <w:color w:val="000000" w:themeColor="text1"/>
          <w:highlight w:val="none"/>
          <w14:textFill>
            <w14:solidFill>
              <w14:schemeClr w14:val="tx1"/>
            </w14:solidFill>
          </w14:textFill>
        </w:rPr>
        <w:t>19、投标文件</w:t>
      </w:r>
      <w:bookmarkEnd w:id="115"/>
      <w:bookmarkEnd w:id="116"/>
      <w:bookmarkEnd w:id="117"/>
      <w:r>
        <w:rPr>
          <w:rFonts w:hint="eastAsia" w:ascii="宋体" w:hAnsi="宋体" w:eastAsia="宋体" w:cs="宋体"/>
          <w:b w:val="0"/>
          <w:bCs w:val="0"/>
          <w:color w:val="000000" w:themeColor="text1"/>
          <w:highlight w:val="none"/>
          <w14:textFill>
            <w14:solidFill>
              <w14:schemeClr w14:val="tx1"/>
            </w14:solidFill>
          </w14:textFill>
        </w:rPr>
        <w:t>的拒收</w:t>
      </w:r>
    </w:p>
    <w:p w14:paraId="03FE3C98">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19.1招标代理机构</w:t>
      </w:r>
      <w:r>
        <w:rPr>
          <w:rFonts w:hint="eastAsia" w:ascii="宋体" w:hAnsi="宋体" w:cs="宋体"/>
          <w:bCs/>
          <w:color w:val="000000" w:themeColor="text1"/>
          <w:sz w:val="24"/>
          <w:highlight w:val="none"/>
          <w14:textFill>
            <w14:solidFill>
              <w14:schemeClr w14:val="tx1"/>
            </w14:solidFill>
          </w14:textFill>
        </w:rPr>
        <w:t>拒绝接收在其规定的投标截止时间后上传的任何投标文件。</w:t>
      </w:r>
    </w:p>
    <w:p w14:paraId="3B52CD23">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118" w:name="_Toc20823300"/>
      <w:bookmarkStart w:id="119" w:name="_Toc16938544"/>
      <w:bookmarkStart w:id="120" w:name="_Toc513029228"/>
      <w:r>
        <w:rPr>
          <w:rFonts w:hint="eastAsia" w:ascii="宋体" w:hAnsi="宋体" w:eastAsia="宋体" w:cs="宋体"/>
          <w:b w:val="0"/>
          <w:bCs w:val="0"/>
          <w:color w:val="000000" w:themeColor="text1"/>
          <w:highlight w:val="none"/>
          <w14:textFill>
            <w14:solidFill>
              <w14:schemeClr w14:val="tx1"/>
            </w14:solidFill>
          </w14:textFill>
        </w:rPr>
        <w:t>20、投标文件的撤回和修改</w:t>
      </w:r>
      <w:bookmarkEnd w:id="118"/>
      <w:bookmarkEnd w:id="119"/>
      <w:bookmarkEnd w:id="120"/>
    </w:p>
    <w:p w14:paraId="27BCBB4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20.1 投标文件的撤回</w:t>
      </w:r>
    </w:p>
    <w:p w14:paraId="38CDCF25">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21.1.1 电子投标文件的撤回</w:t>
      </w:r>
    </w:p>
    <w:p w14:paraId="1652197F">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投标人可在投标截止时间前，撤回其电子投标文件，具体操作方法见《操作手册》。</w:t>
      </w:r>
    </w:p>
    <w:p w14:paraId="51E32F9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21.1.</w:t>
      </w:r>
      <w:r>
        <w:rPr>
          <w:rFonts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 xml:space="preserve"> 投标人撤回电子投标文件，则认为其不再参与本项目投标活动。</w:t>
      </w:r>
    </w:p>
    <w:p w14:paraId="1FB47A78">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20.2 投标文件的修改</w:t>
      </w:r>
    </w:p>
    <w:p w14:paraId="634CD352">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20.2.1投标人可在投标截止时间前，对其电子投标文件进行修改，具体操作方法见《操作手册》。</w:t>
      </w:r>
    </w:p>
    <w:p w14:paraId="26F9256F">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20.2.2</w:t>
      </w:r>
      <w:r>
        <w:rPr>
          <w:rFonts w:hint="eastAsia" w:ascii="宋体" w:hAnsi="宋体" w:cs="宋体"/>
          <w:bCs/>
          <w:color w:val="000000" w:themeColor="text1"/>
          <w:sz w:val="24"/>
          <w:highlight w:val="none"/>
          <w14:textFill>
            <w14:solidFill>
              <w14:schemeClr w14:val="tx1"/>
            </w14:solidFill>
          </w14:textFill>
        </w:rPr>
        <w:t xml:space="preserve"> 在投标截止时间之后，投标人不得对其电子投标文件作任何修改。</w:t>
      </w:r>
    </w:p>
    <w:p w14:paraId="1AB8107D">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20.3</w:t>
      </w:r>
      <w:r>
        <w:rPr>
          <w:rFonts w:hint="eastAsia" w:ascii="宋体" w:hAnsi="宋体" w:cs="宋体"/>
          <w:bCs/>
          <w:color w:val="000000" w:themeColor="text1"/>
          <w:sz w:val="24"/>
          <w:highlight w:val="none"/>
          <w14:textFill>
            <w14:solidFill>
              <w14:schemeClr w14:val="tx1"/>
            </w14:solidFill>
          </w14:textFill>
        </w:rPr>
        <w:t xml:space="preserve"> 在投标截止时间至招标文件中规定的投标有效期满之间的这段时间内，投标人不得撤回其投标。</w:t>
      </w:r>
    </w:p>
    <w:p w14:paraId="3B54FB99">
      <w:pPr>
        <w:pStyle w:val="642"/>
        <w:pageBreakBefore w:val="0"/>
        <w:widowControl w:val="0"/>
        <w:shd w:val="clear"/>
        <w:kinsoku/>
        <w:wordWrap/>
        <w:overflowPunct/>
        <w:topLinePunct w:val="0"/>
        <w:autoSpaceDE/>
        <w:autoSpaceDN/>
        <w:bidi w:val="0"/>
        <w:adjustRightInd/>
        <w:snapToGrid/>
        <w:spacing w:before="0" w:after="0" w:line="360" w:lineRule="auto"/>
        <w:ind w:firstLine="482"/>
        <w:contextualSpacing/>
        <w:textAlignment w:val="auto"/>
        <w:rPr>
          <w:rFonts w:ascii="宋体" w:hAnsi="宋体" w:cs="宋体"/>
          <w:color w:val="000000" w:themeColor="text1"/>
          <w:highlight w:val="none"/>
          <w14:textFill>
            <w14:solidFill>
              <w14:schemeClr w14:val="tx1"/>
            </w14:solidFill>
          </w14:textFill>
        </w:rPr>
      </w:pPr>
      <w:bookmarkStart w:id="121" w:name="_Toc120614218"/>
      <w:bookmarkStart w:id="122" w:name="_Toc513029229"/>
      <w:bookmarkStart w:id="123" w:name="_Toc20823301"/>
      <w:bookmarkStart w:id="124" w:name="_Toc16938545"/>
      <w:r>
        <w:rPr>
          <w:rFonts w:hint="eastAsia" w:ascii="宋体" w:hAnsi="宋体" w:cs="宋体"/>
          <w:color w:val="000000" w:themeColor="text1"/>
          <w:highlight w:val="none"/>
          <w14:textFill>
            <w14:solidFill>
              <w14:schemeClr w14:val="tx1"/>
            </w14:solidFill>
          </w14:textFill>
        </w:rPr>
        <w:t>五、开标与评标</w:t>
      </w:r>
      <w:bookmarkEnd w:id="121"/>
      <w:bookmarkEnd w:id="122"/>
      <w:bookmarkEnd w:id="123"/>
      <w:bookmarkEnd w:id="124"/>
    </w:p>
    <w:p w14:paraId="41E6ABC1">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125" w:name="_Toc513029230"/>
      <w:bookmarkStart w:id="126" w:name="_Toc16938546"/>
      <w:bookmarkStart w:id="127" w:name="_Toc20823302"/>
      <w:r>
        <w:rPr>
          <w:rFonts w:hint="eastAsia" w:ascii="宋体" w:hAnsi="宋体" w:eastAsia="宋体" w:cs="宋体"/>
          <w:b w:val="0"/>
          <w:bCs w:val="0"/>
          <w:color w:val="000000" w:themeColor="text1"/>
          <w:highlight w:val="none"/>
          <w14:textFill>
            <w14:solidFill>
              <w14:schemeClr w14:val="tx1"/>
            </w14:solidFill>
          </w14:textFill>
        </w:rPr>
        <w:t>21、开标</w:t>
      </w:r>
      <w:bookmarkEnd w:id="125"/>
      <w:bookmarkEnd w:id="126"/>
      <w:bookmarkEnd w:id="127"/>
    </w:p>
    <w:p w14:paraId="5AB768B9">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21.1</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bCs/>
          <w:color w:val="000000" w:themeColor="text1"/>
          <w:sz w:val="24"/>
          <w:highlight w:val="none"/>
          <w14:textFill>
            <w14:solidFill>
              <w14:schemeClr w14:val="tx1"/>
            </w14:solidFill>
          </w14:textFill>
        </w:rPr>
        <w:t>将在招标公告中规定的时间和地点组织公开开标</w:t>
      </w:r>
      <w:r>
        <w:rPr>
          <w:rFonts w:hint="eastAsia" w:ascii="宋体" w:hAnsi="宋体" w:cs="宋体"/>
          <w:color w:val="000000" w:themeColor="text1"/>
          <w:sz w:val="24"/>
          <w:szCs w:val="24"/>
          <w:highlight w:val="none"/>
          <w14:textFill>
            <w14:solidFill>
              <w14:schemeClr w14:val="tx1"/>
            </w14:solidFill>
          </w14:textFill>
        </w:rPr>
        <w:t>。投标人应当按照《操作手册》规定，</w:t>
      </w:r>
      <w:r>
        <w:rPr>
          <w:rFonts w:ascii="宋体" w:hAnsi="宋体" w:cs="宋体"/>
          <w:color w:val="000000" w:themeColor="text1"/>
          <w:sz w:val="24"/>
          <w:szCs w:val="24"/>
          <w:highlight w:val="none"/>
          <w14:textFill>
            <w14:solidFill>
              <w14:schemeClr w14:val="tx1"/>
            </w14:solidFill>
          </w14:textFill>
        </w:rPr>
        <w:t>参加开标活动</w:t>
      </w:r>
      <w:r>
        <w:rPr>
          <w:rFonts w:hint="eastAsia" w:ascii="宋体" w:hAnsi="宋体" w:cs="宋体"/>
          <w:color w:val="000000" w:themeColor="text1"/>
          <w:sz w:val="24"/>
          <w:szCs w:val="24"/>
          <w:highlight w:val="none"/>
          <w14:textFill>
            <w14:solidFill>
              <w14:schemeClr w14:val="tx1"/>
            </w14:solidFill>
          </w14:textFill>
        </w:rPr>
        <w:t>和在苏采云系统规定的时间内对投标文件进行解密。</w:t>
      </w:r>
    </w:p>
    <w:p w14:paraId="728271F8">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21.2</w:t>
      </w:r>
      <w:r>
        <w:rPr>
          <w:rFonts w:hint="eastAsia" w:ascii="宋体" w:hAnsi="宋体" w:cs="宋体"/>
          <w:color w:val="000000" w:themeColor="text1"/>
          <w:sz w:val="24"/>
          <w:szCs w:val="24"/>
          <w:highlight w:val="none"/>
          <w14:textFill>
            <w14:solidFill>
              <w14:schemeClr w14:val="tx1"/>
            </w14:solidFill>
          </w14:textFill>
        </w:rPr>
        <w:t>开标仪式由</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组织。苏采云系统将自动对</w:t>
      </w:r>
      <w:r>
        <w:rPr>
          <w:rFonts w:ascii="宋体" w:hAnsi="宋体" w:cs="宋体"/>
          <w:color w:val="000000" w:themeColor="text1"/>
          <w:sz w:val="24"/>
          <w:szCs w:val="24"/>
          <w:highlight w:val="none"/>
          <w14:textFill>
            <w14:solidFill>
              <w14:schemeClr w14:val="tx1"/>
            </w14:solidFill>
          </w14:textFill>
        </w:rPr>
        <w:t>项目进行开标，并</w:t>
      </w:r>
      <w:r>
        <w:rPr>
          <w:rFonts w:hint="eastAsia" w:ascii="宋体" w:hAnsi="宋体" w:cs="宋体"/>
          <w:color w:val="000000" w:themeColor="text1"/>
          <w:sz w:val="24"/>
          <w:szCs w:val="24"/>
          <w:highlight w:val="none"/>
          <w14:textFill>
            <w14:solidFill>
              <w14:schemeClr w14:val="tx1"/>
            </w14:solidFill>
          </w14:textFill>
        </w:rPr>
        <w:t>宣布各</w:t>
      </w:r>
      <w:r>
        <w:rPr>
          <w:rFonts w:ascii="宋体" w:hAnsi="宋体" w:cs="宋体"/>
          <w:color w:val="000000" w:themeColor="text1"/>
          <w:sz w:val="24"/>
          <w:szCs w:val="24"/>
          <w:highlight w:val="none"/>
          <w14:textFill>
            <w14:solidFill>
              <w14:schemeClr w14:val="tx1"/>
            </w14:solidFill>
          </w14:textFill>
        </w:rPr>
        <w:t>投标人</w:t>
      </w:r>
      <w:r>
        <w:rPr>
          <w:rFonts w:hint="eastAsia" w:ascii="宋体" w:hAnsi="宋体" w:cs="宋体"/>
          <w:color w:val="000000" w:themeColor="text1"/>
          <w:sz w:val="24"/>
          <w:szCs w:val="24"/>
          <w:highlight w:val="none"/>
          <w14:textFill>
            <w14:solidFill>
              <w14:schemeClr w14:val="tx1"/>
            </w14:solidFill>
          </w14:textFill>
        </w:rPr>
        <w:t>名称和投标价格。</w:t>
      </w:r>
    </w:p>
    <w:p w14:paraId="76F1A399">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21.3投标人在开标过程中涉及到的投标文件解密、开标结果确认等工作，应按照《操作手册》规定执行。</w:t>
      </w:r>
    </w:p>
    <w:p w14:paraId="1CBD0E50">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21.4投标人如果对开标过程和开标记录有疑义，应当根据《操作手册》规定提出，如 苏采云系统中《开标记录表》宣布后5分钟内未提出的，视同认可开标结果。</w:t>
      </w:r>
    </w:p>
    <w:p w14:paraId="6CF334F9">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128" w:name="_Toc513029231"/>
      <w:bookmarkStart w:id="129" w:name="_Toc20823303"/>
      <w:bookmarkStart w:id="130" w:name="_Toc16938547"/>
      <w:r>
        <w:rPr>
          <w:rFonts w:hint="eastAsia" w:ascii="宋体" w:hAnsi="宋体" w:eastAsia="宋体" w:cs="宋体"/>
          <w:b w:val="0"/>
          <w:bCs w:val="0"/>
          <w:color w:val="000000" w:themeColor="text1"/>
          <w:highlight w:val="none"/>
          <w14:textFill>
            <w14:solidFill>
              <w14:schemeClr w14:val="tx1"/>
            </w14:solidFill>
          </w14:textFill>
        </w:rPr>
        <w:t>22、评标委员会</w:t>
      </w:r>
    </w:p>
    <w:p w14:paraId="11C5C3B4">
      <w:pPr>
        <w:pageBreakBefore w:val="0"/>
        <w:widowControl w:val="0"/>
        <w:shd w:val="clear"/>
        <w:kinsoku/>
        <w:wordWrap/>
        <w:overflowPunct/>
        <w:topLinePunct w:val="0"/>
        <w:autoSpaceDE/>
        <w:autoSpaceDN/>
        <w:bidi w:val="0"/>
        <w:adjustRightInd/>
        <w:snapToGrid/>
        <w:spacing w:line="360" w:lineRule="auto"/>
        <w:contextualSpacing/>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22.1</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开标后，</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将立即组织评标委员会（以下简称评委会）进行评标。</w:t>
      </w:r>
    </w:p>
    <w:p w14:paraId="30DF80D1">
      <w:pPr>
        <w:pageBreakBefore w:val="0"/>
        <w:widowControl w:val="0"/>
        <w:shd w:val="clear"/>
        <w:kinsoku/>
        <w:wordWrap/>
        <w:overflowPunct/>
        <w:topLinePunct w:val="0"/>
        <w:autoSpaceDE/>
        <w:autoSpaceDN/>
        <w:bidi w:val="0"/>
        <w:adjustRightInd/>
        <w:snapToGrid/>
        <w:spacing w:line="360" w:lineRule="auto"/>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p>
    <w:p w14:paraId="60A8E70A">
      <w:pPr>
        <w:pageBreakBefore w:val="0"/>
        <w:widowControl w:val="0"/>
        <w:shd w:val="clear"/>
        <w:kinsoku/>
        <w:wordWrap/>
        <w:overflowPunct/>
        <w:topLinePunct w:val="0"/>
        <w:autoSpaceDE/>
        <w:autoSpaceDN/>
        <w:bidi w:val="0"/>
        <w:adjustRightInd/>
        <w:snapToGrid/>
        <w:spacing w:line="360" w:lineRule="auto"/>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22.3评委会独立工作，负责评审所有投标文件并确定中标侯选人。</w:t>
      </w:r>
    </w:p>
    <w:p w14:paraId="41C977B8">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23、评标过程的保密与公正</w:t>
      </w:r>
      <w:bookmarkEnd w:id="128"/>
      <w:bookmarkEnd w:id="129"/>
      <w:bookmarkEnd w:id="130"/>
    </w:p>
    <w:p w14:paraId="18EC32C8">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23.1</w:t>
      </w:r>
      <w:r>
        <w:rPr>
          <w:rFonts w:hint="eastAsia" w:ascii="宋体" w:hAnsi="宋体" w:cs="宋体"/>
          <w:bCs/>
          <w:color w:val="000000" w:themeColor="text1"/>
          <w:sz w:val="24"/>
          <w:highlight w:val="none"/>
          <w14:textFill>
            <w14:solidFill>
              <w14:schemeClr w14:val="tx1"/>
            </w14:solidFill>
          </w14:textFill>
        </w:rPr>
        <w:t>凡是与审查、澄清、评价和比较投标的有关资料以及授标建议等，采购人、评委、</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bCs/>
          <w:color w:val="000000" w:themeColor="text1"/>
          <w:sz w:val="24"/>
          <w:highlight w:val="none"/>
          <w14:textFill>
            <w14:solidFill>
              <w14:schemeClr w14:val="tx1"/>
            </w14:solidFill>
          </w14:textFill>
        </w:rPr>
        <w:t>均不得向投标人或与评标无关的其他人员透露。</w:t>
      </w:r>
    </w:p>
    <w:p w14:paraId="725CA946">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23.2</w:t>
      </w:r>
      <w:r>
        <w:rPr>
          <w:rFonts w:hint="eastAsia" w:ascii="宋体" w:hAnsi="宋体" w:cs="宋体"/>
          <w:color w:val="000000" w:themeColor="text1"/>
          <w:sz w:val="24"/>
          <w:szCs w:val="24"/>
          <w:highlight w:val="none"/>
          <w14:textFill>
            <w14:solidFill>
              <w14:schemeClr w14:val="tx1"/>
            </w14:solidFill>
          </w14:textFill>
        </w:rPr>
        <w:t>在评标过程中，投标人不得以任何行为影响评标过程，否则其投标文件将被作为无效投标文件。</w:t>
      </w:r>
    </w:p>
    <w:p w14:paraId="2C9DEFB6">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w:t>
      </w:r>
      <w:r>
        <w:rPr>
          <w:rFonts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和评标委员会不向未中标的投标人解释未中标原因，也不公布评标过程中的相关细节。</w:t>
      </w:r>
    </w:p>
    <w:p w14:paraId="0F496D64">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23.4 采用综合评分法的项目，未中标的投标人可于中标结果公告期限届满之日起通过苏采云系统查看自己的评审得分及排序情况。</w:t>
      </w:r>
    </w:p>
    <w:p w14:paraId="304E5B73">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131" w:name="_Toc16938548"/>
      <w:bookmarkStart w:id="132" w:name="_Toc20823304"/>
      <w:bookmarkStart w:id="133" w:name="_Toc513029232"/>
      <w:r>
        <w:rPr>
          <w:rFonts w:hint="eastAsia" w:ascii="宋体" w:hAnsi="宋体" w:eastAsia="宋体" w:cs="宋体"/>
          <w:b w:val="0"/>
          <w:bCs w:val="0"/>
          <w:color w:val="000000" w:themeColor="text1"/>
          <w:highlight w:val="none"/>
          <w14:textFill>
            <w14:solidFill>
              <w14:schemeClr w14:val="tx1"/>
            </w14:solidFill>
          </w14:textFill>
        </w:rPr>
        <w:t>24、投标文件的澄清</w:t>
      </w:r>
      <w:bookmarkEnd w:id="131"/>
      <w:bookmarkEnd w:id="132"/>
      <w:bookmarkEnd w:id="133"/>
    </w:p>
    <w:p w14:paraId="1FFC9546">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4.</w:t>
      </w:r>
      <w:r>
        <w:rPr>
          <w:rFonts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评标期间，评委会对投标文件中含义不明确、同类问题表述不一致或者有明显文字和计算错误的内容</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，有权要求投标人作出必要的澄清、说明或者补正。</w:t>
      </w:r>
    </w:p>
    <w:p w14:paraId="5E79F88A">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588AA03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评标</w:t>
      </w:r>
      <w:r>
        <w:rPr>
          <w:rFonts w:ascii="宋体" w:hAnsi="宋体" w:cs="宋体"/>
          <w:color w:val="000000" w:themeColor="text1"/>
          <w:sz w:val="24"/>
          <w:szCs w:val="24"/>
          <w:highlight w:val="none"/>
          <w14:textFill>
            <w14:solidFill>
              <w14:schemeClr w14:val="tx1"/>
            </w14:solidFill>
          </w14:textFill>
        </w:rPr>
        <w:t>委员会并非对每个投标人都做澄清要求</w:t>
      </w:r>
      <w:r>
        <w:rPr>
          <w:rFonts w:hint="eastAsia" w:ascii="宋体" w:hAnsi="宋体" w:cs="宋体"/>
          <w:color w:val="000000" w:themeColor="text1"/>
          <w:sz w:val="24"/>
          <w:szCs w:val="24"/>
          <w:highlight w:val="none"/>
          <w14:textFill>
            <w14:solidFill>
              <w14:schemeClr w14:val="tx1"/>
            </w14:solidFill>
          </w14:textFill>
        </w:rPr>
        <w:t>。</w:t>
      </w:r>
    </w:p>
    <w:p w14:paraId="2B424D42">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2F61EDA">
      <w:pPr>
        <w:pageBreakBefore w:val="0"/>
        <w:widowControl w:val="0"/>
        <w:shd w:val="clear"/>
        <w:kinsoku/>
        <w:wordWrap/>
        <w:overflowPunct/>
        <w:topLinePunct w:val="0"/>
        <w:autoSpaceDE/>
        <w:autoSpaceDN/>
        <w:bidi w:val="0"/>
        <w:adjustRightInd/>
        <w:snapToGrid/>
        <w:spacing w:line="360" w:lineRule="auto"/>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24.3 接到评委会澄清、说明和补正要求的投标人如未按规定做出澄清、说明和补正，其风险由投标人自行承担。</w:t>
      </w:r>
    </w:p>
    <w:p w14:paraId="30553203">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134" w:name="_Toc20823305"/>
      <w:bookmarkStart w:id="135" w:name="_Toc513029233"/>
      <w:bookmarkStart w:id="136" w:name="_Toc16938549"/>
      <w:r>
        <w:rPr>
          <w:rFonts w:hint="eastAsia" w:ascii="宋体" w:hAnsi="宋体" w:eastAsia="宋体" w:cs="宋体"/>
          <w:b w:val="0"/>
          <w:bCs w:val="0"/>
          <w:color w:val="000000" w:themeColor="text1"/>
          <w:highlight w:val="none"/>
          <w14:textFill>
            <w14:solidFill>
              <w14:schemeClr w14:val="tx1"/>
            </w14:solidFill>
          </w14:textFill>
        </w:rPr>
        <w:t>25、对投标文件的初审</w:t>
      </w:r>
      <w:bookmarkEnd w:id="134"/>
      <w:bookmarkEnd w:id="135"/>
      <w:bookmarkEnd w:id="136"/>
    </w:p>
    <w:p w14:paraId="493E42F2">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25.1</w:t>
      </w:r>
      <w:r>
        <w:rPr>
          <w:rFonts w:hint="eastAsia" w:ascii="宋体" w:hAnsi="宋体" w:cs="宋体"/>
          <w:bCs/>
          <w:color w:val="000000" w:themeColor="text1"/>
          <w:sz w:val="24"/>
          <w:highlight w:val="none"/>
          <w14:textFill>
            <w14:solidFill>
              <w14:schemeClr w14:val="tx1"/>
            </w14:solidFill>
          </w14:textFill>
        </w:rPr>
        <w:t>投标文件初审分为资格审查和符合性审查。</w:t>
      </w:r>
    </w:p>
    <w:p w14:paraId="6FF60084">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25.1.1 资格审查：依据法律法规和招标文件的规定，由采购人对投标文件中的资格证明文件进行审查。资格审查的结论，采购人以书面形式向评委会进行反馈。</w:t>
      </w:r>
    </w:p>
    <w:p w14:paraId="12BA98F8">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采购人在进行资格性审查的同时，将在“信用中国”网站（www.creditchina.gov.cn）查询投标人的信用记录，以确定投标人是否具备投标资格,查询结果留存并归档。</w:t>
      </w:r>
    </w:p>
    <w:p w14:paraId="5423A523">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接受联合体的项目，两个以上的自然人、法人或者其他组织组成一个联合体，以一个供应商的身份共同参加政府采购活动的,联合体成员存在不良信用记录的，视同联合体存在不良应用记录。</w:t>
      </w:r>
    </w:p>
    <w:p w14:paraId="649FB66A">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25.1.2 符合性审查：依据招标文件的规定，由评委会从投标文件的有效性、完整性和对招标文件的响应程度进行审查，以确定是否对招标文件的实质性要求作出响应。</w:t>
      </w:r>
    </w:p>
    <w:p w14:paraId="18E74523">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25.</w:t>
      </w:r>
      <w:r>
        <w:rPr>
          <w:rFonts w:ascii="宋体" w:hAnsi="宋体" w:cs="宋体"/>
          <w:bCs/>
          <w:color w:val="000000" w:themeColor="text1"/>
          <w:sz w:val="24"/>
          <w:highlight w:val="none"/>
          <w14:textFill>
            <w14:solidFill>
              <w14:schemeClr w14:val="tx1"/>
            </w14:solidFill>
          </w14:textFill>
        </w:rPr>
        <w:t>1.</w:t>
      </w:r>
      <w:r>
        <w:rPr>
          <w:rFonts w:hint="eastAsia" w:ascii="宋体" w:hAnsi="宋体" w:cs="宋体"/>
          <w:bCs/>
          <w:color w:val="000000" w:themeColor="text1"/>
          <w:sz w:val="24"/>
          <w:highlight w:val="none"/>
          <w14:textFill>
            <w14:solidFill>
              <w14:schemeClr w14:val="tx1"/>
            </w14:solidFill>
          </w14:textFill>
        </w:rPr>
        <w:t>3 未通过资格审查或符合性审查的投标人，</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bCs/>
          <w:color w:val="000000" w:themeColor="text1"/>
          <w:sz w:val="24"/>
          <w:highlight w:val="none"/>
          <w14:textFill>
            <w14:solidFill>
              <w14:schemeClr w14:val="tx1"/>
            </w14:solidFill>
          </w14:textFill>
        </w:rPr>
        <w:t>将在</w:t>
      </w:r>
      <w:r>
        <w:rPr>
          <w:rFonts w:hint="eastAsia" w:ascii="宋体" w:hAnsi="宋体" w:cs="宋体"/>
          <w:color w:val="000000" w:themeColor="text1"/>
          <w:sz w:val="24"/>
          <w:szCs w:val="24"/>
          <w:highlight w:val="none"/>
          <w14:textFill>
            <w14:solidFill>
              <w14:schemeClr w14:val="tx1"/>
            </w14:solidFill>
          </w14:textFill>
        </w:rPr>
        <w:t>苏采云系统</w:t>
      </w:r>
      <w:r>
        <w:rPr>
          <w:rFonts w:hint="eastAsia" w:ascii="宋体" w:hAnsi="宋体" w:cs="宋体"/>
          <w:bCs/>
          <w:color w:val="000000" w:themeColor="text1"/>
          <w:sz w:val="24"/>
          <w:highlight w:val="none"/>
          <w14:textFill>
            <w14:solidFill>
              <w14:schemeClr w14:val="tx1"/>
            </w14:solidFill>
          </w14:textFill>
        </w:rPr>
        <w:t>中告知未通过资格审查或符合性审查的原因，</w:t>
      </w:r>
      <w:r>
        <w:rPr>
          <w:rFonts w:ascii="宋体" w:hAnsi="宋体" w:cs="宋体"/>
          <w:bCs/>
          <w:color w:val="000000" w:themeColor="text1"/>
          <w:sz w:val="24"/>
          <w:highlight w:val="none"/>
          <w14:textFill>
            <w14:solidFill>
              <w14:schemeClr w14:val="tx1"/>
            </w14:solidFill>
          </w14:textFill>
        </w:rPr>
        <w:t>评标结束后，</w:t>
      </w:r>
      <w:r>
        <w:rPr>
          <w:rFonts w:hint="eastAsia" w:ascii="宋体" w:hAnsi="宋体" w:cs="宋体"/>
          <w:color w:val="000000" w:themeColor="text1"/>
          <w:sz w:val="24"/>
          <w:highlight w:val="none"/>
          <w14:textFill>
            <w14:solidFill>
              <w14:schemeClr w14:val="tx1"/>
            </w14:solidFill>
          </w14:textFill>
        </w:rPr>
        <w:t>招标代理机构</w:t>
      </w:r>
      <w:r>
        <w:rPr>
          <w:rFonts w:ascii="宋体" w:hAnsi="宋体" w:cs="宋体"/>
          <w:bCs/>
          <w:color w:val="000000" w:themeColor="text1"/>
          <w:sz w:val="24"/>
          <w:highlight w:val="none"/>
          <w14:textFill>
            <w14:solidFill>
              <w14:schemeClr w14:val="tx1"/>
            </w14:solidFill>
          </w14:textFill>
        </w:rPr>
        <w:t>将不再告知未通过资格审查和</w:t>
      </w:r>
      <w:r>
        <w:rPr>
          <w:rFonts w:hint="eastAsia" w:ascii="宋体" w:hAnsi="宋体" w:cs="宋体"/>
          <w:bCs/>
          <w:color w:val="000000" w:themeColor="text1"/>
          <w:sz w:val="24"/>
          <w:highlight w:val="none"/>
          <w14:textFill>
            <w14:solidFill>
              <w14:schemeClr w14:val="tx1"/>
            </w14:solidFill>
          </w14:textFill>
        </w:rPr>
        <w:t>符合性</w:t>
      </w:r>
      <w:r>
        <w:rPr>
          <w:rFonts w:ascii="宋体" w:hAnsi="宋体" w:cs="宋体"/>
          <w:bCs/>
          <w:color w:val="000000" w:themeColor="text1"/>
          <w:sz w:val="24"/>
          <w:highlight w:val="none"/>
          <w14:textFill>
            <w14:solidFill>
              <w14:schemeClr w14:val="tx1"/>
            </w14:solidFill>
          </w14:textFill>
        </w:rPr>
        <w:t>审查的原因。</w:t>
      </w:r>
    </w:p>
    <w:p w14:paraId="7E1BF893">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61DE8D7F">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18ABF7">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.3如果投标文件实质上没有响应招标文件的要求，评委会将予以拒绝，投标人不得通过修改或撤销不合要求的偏离或保留而使其投标成为实质性响应的投标。</w:t>
      </w:r>
    </w:p>
    <w:p w14:paraId="48E66B5C">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w:t>
      </w:r>
      <w:r>
        <w:rPr>
          <w:rFonts w:ascii="宋体" w:hAnsi="宋体" w:cs="宋体"/>
          <w:color w:val="000000" w:themeColor="text1"/>
          <w:sz w:val="24"/>
          <w:highlight w:val="none"/>
          <w14:textFill>
            <w14:solidFill>
              <w14:schemeClr w14:val="tx1"/>
            </w14:solidFill>
          </w14:textFill>
        </w:rPr>
        <w:t>4</w:t>
      </w:r>
      <w:r>
        <w:rPr>
          <w:rFonts w:hint="eastAsia" w:ascii="宋体" w:hAnsi="宋体" w:cs="宋体"/>
          <w:bCs/>
          <w:color w:val="000000" w:themeColor="text1"/>
          <w:sz w:val="24"/>
          <w:highlight w:val="none"/>
          <w14:textFill>
            <w14:solidFill>
              <w14:schemeClr w14:val="tx1"/>
            </w14:solidFill>
          </w14:textFill>
        </w:rPr>
        <w:t>评委会将对确定为实质性响应的投标进行进一步审核，确定其是否有计算上或累加上的算术错误，修正错误的原则如下：</w:t>
      </w:r>
    </w:p>
    <w:p w14:paraId="6BE9FED0">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（1）投标文件中开标一览表内容与投标文件中相应内容不一致的，以开标一览表为准。</w:t>
      </w:r>
    </w:p>
    <w:p w14:paraId="45D56323">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（2）大写金额和小写金额不一致的，以大写金额为准。</w:t>
      </w:r>
    </w:p>
    <w:p w14:paraId="4D73B845">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（3）单价金额小数点或者百分比有明显错位的，以开标一览表的总价为准，并修改单价。</w:t>
      </w:r>
    </w:p>
    <w:p w14:paraId="1226B256">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（4）总价金额与按单价汇总金额不一致的，以单价金额计算结果为准。</w:t>
      </w:r>
    </w:p>
    <w:p w14:paraId="19E21C27">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同时出现两种以上错误的，按照前款规定的顺序修正。</w:t>
      </w:r>
    </w:p>
    <w:p w14:paraId="28F987AC">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25.</w:t>
      </w:r>
      <w:r>
        <w:rPr>
          <w:rFonts w:ascii="宋体" w:hAnsi="宋体" w:cs="宋体"/>
          <w:color w:val="000000" w:themeColor="text1"/>
          <w:sz w:val="24"/>
          <w:highlight w:val="none"/>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评委会将按上述修正错误的方法调整投标文件中的投标报价，并</w:t>
      </w:r>
      <w:r>
        <w:rPr>
          <w:rFonts w:ascii="宋体" w:hAnsi="宋体" w:cs="宋体"/>
          <w:bCs/>
          <w:color w:val="000000" w:themeColor="text1"/>
          <w:sz w:val="24"/>
          <w:highlight w:val="none"/>
          <w14:textFill>
            <w14:solidFill>
              <w14:schemeClr w14:val="tx1"/>
            </w14:solidFill>
          </w14:textFill>
        </w:rPr>
        <w:t>通过</w:t>
      </w:r>
      <w:r>
        <w:rPr>
          <w:rFonts w:hint="eastAsia" w:ascii="宋体" w:hAnsi="宋体" w:cs="宋体"/>
          <w:color w:val="000000" w:themeColor="text1"/>
          <w:sz w:val="24"/>
          <w:szCs w:val="24"/>
          <w:highlight w:val="none"/>
          <w14:textFill>
            <w14:solidFill>
              <w14:schemeClr w14:val="tx1"/>
            </w14:solidFill>
          </w14:textFill>
        </w:rPr>
        <w:t>苏采云系统</w:t>
      </w:r>
      <w:r>
        <w:rPr>
          <w:rFonts w:hint="eastAsia" w:ascii="宋体" w:hAnsi="宋体" w:cs="宋体"/>
          <w:bCs/>
          <w:color w:val="000000" w:themeColor="text1"/>
          <w:sz w:val="24"/>
          <w:highlight w:val="none"/>
          <w14:textFill>
            <w14:solidFill>
              <w14:schemeClr w14:val="tx1"/>
            </w14:solidFill>
          </w14:textFill>
        </w:rPr>
        <w:t>告知</w:t>
      </w:r>
      <w:r>
        <w:rPr>
          <w:rFonts w:ascii="宋体" w:hAnsi="宋体" w:cs="宋体"/>
          <w:bCs/>
          <w:color w:val="000000" w:themeColor="text1"/>
          <w:sz w:val="24"/>
          <w:highlight w:val="none"/>
          <w14:textFill>
            <w14:solidFill>
              <w14:schemeClr w14:val="tx1"/>
            </w14:solidFill>
          </w14:textFill>
        </w:rPr>
        <w:t>投标人，</w:t>
      </w:r>
      <w:r>
        <w:rPr>
          <w:rFonts w:hint="eastAsia" w:ascii="宋体" w:hAnsi="宋体" w:cs="宋体"/>
          <w:bCs/>
          <w:color w:val="000000" w:themeColor="text1"/>
          <w:sz w:val="24"/>
          <w:highlight w:val="none"/>
          <w14:textFill>
            <w14:solidFill>
              <w14:schemeClr w14:val="tx1"/>
            </w14:solidFill>
          </w14:textFill>
        </w:rPr>
        <w:t>调整后的价格应对投标人具有约束力。如果投标人不接受修正后的价格，则其投标将被拒绝。</w:t>
      </w:r>
    </w:p>
    <w:p w14:paraId="4340BEA5">
      <w:pPr>
        <w:pStyle w:val="35"/>
        <w:keepNext w:val="0"/>
        <w:keepLines w:val="0"/>
        <w:pageBreakBefore w:val="0"/>
        <w:widowControl w:val="0"/>
        <w:spacing w:after="0" w:line="360" w:lineRule="auto"/>
        <w:ind w:left="0" w:firstLine="482"/>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25.6 异常低价审查，具体要求包括：</w:t>
      </w:r>
    </w:p>
    <w:p w14:paraId="3F4E30CF">
      <w:pPr>
        <w:keepNext w:val="0"/>
        <w:keepLines w:val="0"/>
        <w:pageBreakBefore w:val="0"/>
        <w:widowControl w:val="0"/>
        <w:numPr>
          <w:ilvl w:val="0"/>
          <w:numId w:val="0"/>
        </w:numPr>
        <w:spacing w:line="360" w:lineRule="auto"/>
        <w:ind w:firstLine="482"/>
        <w:jc w:val="both"/>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评审过程中出现下列情形之一的，</w:t>
      </w:r>
      <w:r>
        <w:rPr>
          <w:rFonts w:hint="eastAsia" w:ascii="宋体" w:hAnsi="宋体" w:eastAsia="宋体" w:cs="宋体"/>
          <w:b/>
          <w:bCs/>
          <w:color w:val="auto"/>
          <w:sz w:val="24"/>
          <w:szCs w:val="24"/>
          <w:highlight w:val="none"/>
          <w:lang w:val="en-US" w:eastAsia="zh-CN" w:bidi="ar"/>
        </w:rPr>
        <w:t>评标委员会</w:t>
      </w:r>
      <w:r>
        <w:rPr>
          <w:rFonts w:hint="eastAsia" w:ascii="宋体" w:hAnsi="宋体" w:eastAsia="宋体" w:cs="宋体"/>
          <w:b/>
          <w:bCs/>
          <w:color w:val="auto"/>
          <w:sz w:val="24"/>
          <w:szCs w:val="24"/>
          <w:highlight w:val="none"/>
          <w:lang w:val="en-US" w:eastAsia="zh-CN"/>
        </w:rPr>
        <w:t>应当启动异常低价投标（响应）审查程序：</w:t>
      </w:r>
    </w:p>
    <w:p w14:paraId="57E7E159">
      <w:pPr>
        <w:keepNext w:val="0"/>
        <w:keepLines w:val="0"/>
        <w:pageBreakBefore w:val="0"/>
        <w:widowControl w:val="0"/>
        <w:numPr>
          <w:ilvl w:val="0"/>
          <w:numId w:val="0"/>
        </w:numPr>
        <w:spacing w:line="360" w:lineRule="auto"/>
        <w:ind w:left="0" w:firstLine="482"/>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A、投标（响应）报价低于采购项目预算50%的，即投标（响应）报价&lt;采购项目预算×50%；</w:t>
      </w:r>
    </w:p>
    <w:p w14:paraId="6C2F4C92">
      <w:pPr>
        <w:keepNext w:val="0"/>
        <w:keepLines w:val="0"/>
        <w:pageBreakBefore w:val="0"/>
        <w:widowControl w:val="0"/>
        <w:numPr>
          <w:ilvl w:val="0"/>
          <w:numId w:val="0"/>
        </w:numPr>
        <w:spacing w:line="360" w:lineRule="auto"/>
        <w:ind w:left="0" w:firstLine="482"/>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B、投标（响应）报价低于采购项目最高限价45%的，即投标（响应）报价&lt;采购项目最高限价×45%；</w:t>
      </w:r>
    </w:p>
    <w:p w14:paraId="2C508C58">
      <w:pPr>
        <w:keepNext w:val="0"/>
        <w:keepLines w:val="0"/>
        <w:pageBreakBefore w:val="0"/>
        <w:widowControl w:val="0"/>
        <w:numPr>
          <w:ilvl w:val="0"/>
          <w:numId w:val="0"/>
        </w:numPr>
        <w:spacing w:line="360" w:lineRule="auto"/>
        <w:ind w:left="0" w:firstLine="482"/>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
        </w:rPr>
        <w:t>C、评标委员会</w:t>
      </w:r>
      <w:r>
        <w:rPr>
          <w:rFonts w:hint="eastAsia" w:ascii="宋体" w:hAnsi="宋体" w:eastAsia="宋体" w:cs="宋体"/>
          <w:b/>
          <w:bCs/>
          <w:color w:val="auto"/>
          <w:sz w:val="24"/>
          <w:szCs w:val="24"/>
          <w:highlight w:val="none"/>
          <w:lang w:val="en-US" w:eastAsia="zh-CN"/>
        </w:rPr>
        <w:t>认定的供应商报价过低、有可能影响产品质量或者不能诚信履约的其他情形。</w:t>
      </w:r>
    </w:p>
    <w:p w14:paraId="039A4B80">
      <w:pPr>
        <w:pageBreakBefore w:val="0"/>
        <w:widowControl w:val="0"/>
        <w:suppressLineNumbers w:val="0"/>
        <w:shd w:val="clear" w:color="auto"/>
        <w:spacing w:before="0" w:after="0" w:line="360" w:lineRule="auto"/>
        <w:ind w:firstLine="420"/>
        <w:contextualSpacing/>
        <w:jc w:val="both"/>
        <w:rPr>
          <w:rFonts w:hint="default"/>
          <w:color w:val="auto"/>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启动异常低价投标（响应）审查后，</w:t>
      </w:r>
      <w:r>
        <w:rPr>
          <w:rFonts w:hint="eastAsia" w:ascii="宋体" w:hAnsi="宋体" w:eastAsia="宋体" w:cs="宋体"/>
          <w:color w:val="auto"/>
          <w:sz w:val="24"/>
          <w:szCs w:val="24"/>
          <w:highlight w:val="none"/>
          <w:lang w:val="en-US" w:eastAsia="zh-CN" w:bidi="ar"/>
        </w:rPr>
        <w:t>评标委员会</w:t>
      </w:r>
      <w:r>
        <w:rPr>
          <w:rFonts w:hint="eastAsia" w:ascii="宋体" w:hAnsi="宋体" w:eastAsia="宋体" w:cs="宋体"/>
          <w:color w:val="auto"/>
          <w:sz w:val="24"/>
          <w:szCs w:val="24"/>
          <w:highlight w:val="none"/>
        </w:rPr>
        <w:t>应当要求相关供应商在评标现场合理的时间内，提供项目具体成本测算等与报价合理性相关的书面说明及相关证明材料，对投标（响应）价格作出解释，由</w:t>
      </w:r>
      <w:r>
        <w:rPr>
          <w:rFonts w:hint="eastAsia" w:ascii="宋体" w:hAnsi="宋体" w:eastAsia="宋体" w:cs="宋体"/>
          <w:color w:val="auto"/>
          <w:sz w:val="24"/>
          <w:szCs w:val="24"/>
          <w:highlight w:val="none"/>
          <w:lang w:val="en-US" w:eastAsia="zh-CN" w:bidi="ar"/>
        </w:rPr>
        <w:t>评标委员会</w:t>
      </w:r>
      <w:r>
        <w:rPr>
          <w:rFonts w:hint="eastAsia" w:ascii="宋体" w:hAnsi="宋体" w:eastAsia="宋体" w:cs="宋体"/>
          <w:color w:val="auto"/>
          <w:sz w:val="24"/>
          <w:szCs w:val="24"/>
          <w:highlight w:val="none"/>
        </w:rPr>
        <w:t>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color w:val="auto"/>
          <w:sz w:val="24"/>
          <w:szCs w:val="24"/>
          <w:highlight w:val="none"/>
          <w:lang w:val="en-US" w:eastAsia="zh-CN" w:bidi="ar"/>
        </w:rPr>
        <w:t>评标委员会</w:t>
      </w:r>
      <w:r>
        <w:rPr>
          <w:rFonts w:hint="eastAsia" w:ascii="宋体" w:hAnsi="宋体" w:eastAsia="宋体" w:cs="宋体"/>
          <w:color w:val="auto"/>
          <w:sz w:val="24"/>
          <w:szCs w:val="24"/>
          <w:highlight w:val="none"/>
        </w:rPr>
        <w:t>应当将其作为无效投标（响应）处理。审查相关情况应当在评审报告中进行记录。</w:t>
      </w:r>
    </w:p>
    <w:p w14:paraId="267D9DE7">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hint="eastAsia" w:ascii="宋体" w:hAnsi="宋体" w:cs="宋体"/>
          <w:bCs/>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25.</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投标人在开、评标全过程中应保持通讯畅通，及时登录</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highlight w:val="none"/>
        </w:rPr>
        <w:t>查阅</w:t>
      </w:r>
      <w:r>
        <w:rPr>
          <w:rFonts w:ascii="宋体" w:hAnsi="宋体" w:eastAsia="宋体" w:cs="宋体"/>
          <w:color w:val="auto"/>
          <w:sz w:val="24"/>
          <w:highlight w:val="none"/>
        </w:rPr>
        <w:t>、答复相关</w:t>
      </w:r>
      <w:r>
        <w:rPr>
          <w:rFonts w:hint="eastAsia" w:ascii="宋体" w:hAnsi="宋体" w:eastAsia="宋体" w:cs="宋体"/>
          <w:color w:val="auto"/>
          <w:sz w:val="24"/>
          <w:highlight w:val="none"/>
        </w:rPr>
        <w:t>信息</w:t>
      </w:r>
      <w:r>
        <w:rPr>
          <w:rFonts w:ascii="宋体" w:hAnsi="宋体" w:eastAsia="宋体" w:cs="宋体"/>
          <w:color w:val="auto"/>
          <w:sz w:val="24"/>
          <w:highlight w:val="none"/>
        </w:rPr>
        <w:t>，</w:t>
      </w:r>
      <w:r>
        <w:rPr>
          <w:rFonts w:hint="eastAsia" w:ascii="宋体" w:hAnsi="宋体" w:eastAsia="宋体" w:cs="宋体"/>
          <w:color w:val="auto"/>
          <w:sz w:val="24"/>
          <w:highlight w:val="none"/>
        </w:rPr>
        <w:t>并安排专人与</w:t>
      </w:r>
      <w:r>
        <w:rPr>
          <w:rFonts w:hint="eastAsia" w:ascii="宋体" w:hAnsi="宋体" w:cs="宋体"/>
          <w:color w:val="auto"/>
          <w:sz w:val="24"/>
          <w:highlight w:val="none"/>
          <w:lang w:eastAsia="zh-CN"/>
        </w:rPr>
        <w:t>采购代理机构</w:t>
      </w:r>
      <w:r>
        <w:rPr>
          <w:rFonts w:hint="eastAsia" w:ascii="宋体" w:hAnsi="宋体" w:eastAsia="宋体" w:cs="宋体"/>
          <w:color w:val="auto"/>
          <w:sz w:val="24"/>
          <w:highlight w:val="none"/>
        </w:rPr>
        <w:t>及评标委员会联系。</w:t>
      </w:r>
    </w:p>
    <w:p w14:paraId="20D57ACA">
      <w:pPr>
        <w:pStyle w:val="645"/>
        <w:pageBreakBefore w:val="0"/>
        <w:widowControl w:val="0"/>
        <w:shd w:val="clear"/>
        <w:kinsoku/>
        <w:wordWrap/>
        <w:overflowPunct/>
        <w:topLinePunct w:val="0"/>
        <w:autoSpaceDE/>
        <w:autoSpaceDN/>
        <w:bidi w:val="0"/>
        <w:adjustRightInd/>
        <w:snapToGrid/>
        <w:spacing w:before="0" w:after="0" w:line="360" w:lineRule="auto"/>
        <w:ind w:firstLine="420"/>
        <w:contextualSpacing/>
        <w:textAlignment w:val="auto"/>
        <w:rPr>
          <w:rFonts w:ascii="宋体" w:hAnsi="宋体" w:cs="宋体"/>
          <w:b w:val="0"/>
          <w:bCs w:val="0"/>
          <w:color w:val="000000" w:themeColor="text1"/>
          <w:highlight w:val="none"/>
          <w14:textFill>
            <w14:solidFill>
              <w14:schemeClr w14:val="tx1"/>
            </w14:solidFill>
          </w14:textFill>
        </w:rPr>
      </w:pPr>
      <w:bookmarkStart w:id="137" w:name="_Toc513029234"/>
      <w:bookmarkStart w:id="138" w:name="_Toc20823306"/>
      <w:bookmarkStart w:id="139" w:name="_Toc16938550"/>
      <w:r>
        <w:rPr>
          <w:rFonts w:hint="eastAsia" w:ascii="宋体" w:hAnsi="宋体" w:eastAsia="宋体" w:cs="宋体"/>
          <w:b w:val="0"/>
          <w:bCs w:val="0"/>
          <w:color w:val="000000" w:themeColor="text1"/>
          <w:highlight w:val="none"/>
          <w14:textFill>
            <w14:solidFill>
              <w14:schemeClr w14:val="tx1"/>
            </w14:solidFill>
          </w14:textFill>
        </w:rPr>
        <w:t>26、</w:t>
      </w:r>
      <w:bookmarkEnd w:id="137"/>
      <w:bookmarkEnd w:id="138"/>
      <w:bookmarkEnd w:id="139"/>
      <w:r>
        <w:rPr>
          <w:rFonts w:hint="eastAsia" w:ascii="宋体" w:hAnsi="宋体" w:eastAsia="宋体" w:cs="宋体"/>
          <w:b w:val="0"/>
          <w:bCs w:val="0"/>
          <w:color w:val="000000" w:themeColor="text1"/>
          <w:highlight w:val="none"/>
          <w14:textFill>
            <w14:solidFill>
              <w14:schemeClr w14:val="tx1"/>
            </w14:solidFill>
          </w14:textFill>
        </w:rPr>
        <w:t>无效投标条款和废标条款</w:t>
      </w:r>
    </w:p>
    <w:p w14:paraId="49DA8953">
      <w:pPr>
        <w:pageBreakBefore w:val="0"/>
        <w:widowControl w:val="0"/>
        <w:shd w:val="clear"/>
        <w:kinsoku/>
        <w:wordWrap/>
        <w:overflowPunct/>
        <w:topLinePunct w:val="0"/>
        <w:autoSpaceDE/>
        <w:autoSpaceDN/>
        <w:bidi w:val="0"/>
        <w:adjustRightInd/>
        <w:snapToGrid/>
        <w:spacing w:line="360" w:lineRule="auto"/>
        <w:ind w:left="479"/>
        <w:contextualSpacing/>
        <w:textAlignment w:val="auto"/>
        <w:rPr>
          <w:rFonts w:ascii="宋体" w:hAnsi="宋体" w:cs="宋体"/>
          <w:bCs/>
          <w:color w:val="000000" w:themeColor="text1"/>
          <w:sz w:val="24"/>
          <w:highlight w:val="none"/>
          <w14:textFill>
            <w14:solidFill>
              <w14:schemeClr w14:val="tx1"/>
            </w14:solidFill>
          </w14:textFill>
        </w:rPr>
      </w:pPr>
      <w:bookmarkStart w:id="140" w:name="_Toc16938551"/>
      <w:bookmarkStart w:id="141" w:name="_Toc513029235"/>
      <w:bookmarkStart w:id="142" w:name="_Toc20823307"/>
      <w:r>
        <w:rPr>
          <w:rFonts w:hint="eastAsia" w:ascii="宋体" w:hAnsi="宋体" w:cs="宋体"/>
          <w:bCs/>
          <w:color w:val="000000" w:themeColor="text1"/>
          <w:sz w:val="24"/>
          <w:highlight w:val="none"/>
          <w14:textFill>
            <w14:solidFill>
              <w14:schemeClr w14:val="tx1"/>
            </w14:solidFill>
          </w14:textFill>
        </w:rPr>
        <w:t>26.1无效投标条款</w:t>
      </w:r>
    </w:p>
    <w:p w14:paraId="4A0F269D">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w:t>
      </w:r>
      <w:r>
        <w:rPr>
          <w:rFonts w:hint="eastAsia" w:ascii="宋体" w:hAnsi="宋体" w:cs="宋体"/>
          <w:bCs/>
          <w:color w:val="000000" w:themeColor="text1"/>
          <w:sz w:val="24"/>
          <w:szCs w:val="24"/>
          <w:highlight w:val="none"/>
          <w14:textFill>
            <w14:solidFill>
              <w14:schemeClr w14:val="tx1"/>
            </w14:solidFill>
          </w14:textFill>
        </w:rPr>
        <w:t>.1.1 投标人在</w:t>
      </w:r>
      <w:r>
        <w:rPr>
          <w:rFonts w:hint="eastAsia" w:ascii="宋体" w:hAnsi="宋体" w:cs="宋体"/>
          <w:color w:val="000000" w:themeColor="text1"/>
          <w:sz w:val="24"/>
          <w:szCs w:val="24"/>
          <w:highlight w:val="none"/>
          <w14:textFill>
            <w14:solidFill>
              <w14:schemeClr w14:val="tx1"/>
            </w14:solidFill>
          </w14:textFill>
        </w:rPr>
        <w:t>苏采云系统</w:t>
      </w:r>
      <w:r>
        <w:rPr>
          <w:rFonts w:hint="eastAsia" w:ascii="宋体" w:hAnsi="宋体" w:cs="宋体"/>
          <w:bCs/>
          <w:color w:val="000000" w:themeColor="text1"/>
          <w:sz w:val="24"/>
          <w:szCs w:val="24"/>
          <w:highlight w:val="none"/>
          <w14:textFill>
            <w14:solidFill>
              <w14:schemeClr w14:val="tx1"/>
            </w14:solidFill>
          </w14:textFill>
        </w:rPr>
        <w:t>规定的时间内未成功解密电子投标文件的。</w:t>
      </w:r>
    </w:p>
    <w:p w14:paraId="3B458B14">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26.1.2 投标人未按照招标文件要求上传电子投标文件的。</w:t>
      </w:r>
    </w:p>
    <w:p w14:paraId="5ADB8B5D">
      <w:pPr>
        <w:pageBreakBefore w:val="0"/>
        <w:widowControl w:val="0"/>
        <w:shd w:val="clear"/>
        <w:kinsoku/>
        <w:wordWrap/>
        <w:overflowPunct/>
        <w:topLinePunct w:val="0"/>
        <w:autoSpaceDE/>
        <w:autoSpaceDN/>
        <w:bidi w:val="0"/>
        <w:adjustRightInd/>
        <w:snapToGrid/>
        <w:spacing w:line="360" w:lineRule="auto"/>
        <w:ind w:left="479"/>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26.1.3同一投标人提交两个（含两个）以上不同的投标报价的。</w:t>
      </w:r>
    </w:p>
    <w:p w14:paraId="53F86327">
      <w:pPr>
        <w:pageBreakBefore w:val="0"/>
        <w:widowControl w:val="0"/>
        <w:shd w:val="clear"/>
        <w:kinsoku/>
        <w:wordWrap/>
        <w:overflowPunct/>
        <w:topLinePunct w:val="0"/>
        <w:autoSpaceDE/>
        <w:autoSpaceDN/>
        <w:bidi w:val="0"/>
        <w:adjustRightInd/>
        <w:snapToGrid/>
        <w:spacing w:line="360" w:lineRule="auto"/>
        <w:ind w:left="479"/>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26.1.4投标人不具备招标文件中规定资格要求的。</w:t>
      </w:r>
    </w:p>
    <w:p w14:paraId="1108F8B3">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26.1.5投标人的报价超过了采购预算或最高限价的。</w:t>
      </w:r>
    </w:p>
    <w:p w14:paraId="11820B80">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i/>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26.1.6未通过符合性审查的。</w:t>
      </w:r>
    </w:p>
    <w:p w14:paraId="486E3531">
      <w:pPr>
        <w:pageBreakBefore w:val="0"/>
        <w:widowControl w:val="0"/>
        <w:shd w:val="clear"/>
        <w:kinsoku/>
        <w:wordWrap/>
        <w:overflowPunct/>
        <w:topLinePunct w:val="0"/>
        <w:autoSpaceDE/>
        <w:autoSpaceDN/>
        <w:bidi w:val="0"/>
        <w:adjustRightInd/>
        <w:snapToGrid/>
        <w:spacing w:line="360" w:lineRule="auto"/>
        <w:ind w:firstLine="360"/>
        <w:contextualSpacing/>
        <w:textAlignment w:val="auto"/>
        <w:rPr>
          <w:rFonts w:ascii="宋体" w:hAnsi="宋体" w:cs="宋体"/>
          <w:bCs/>
          <w:i/>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26.1.7不符合招标文件中规定的实质性要求和条件的（</w:t>
      </w:r>
      <w:r>
        <w:rPr>
          <w:rFonts w:hint="eastAsia" w:ascii="宋体" w:hAnsi="宋体" w:cs="宋体"/>
          <w:bCs/>
          <w:i/>
          <w:color w:val="000000" w:themeColor="text1"/>
          <w:sz w:val="24"/>
          <w:highlight w:val="none"/>
          <w:u w:val="single"/>
          <w14:textFill>
            <w14:solidFill>
              <w14:schemeClr w14:val="tx1"/>
            </w14:solidFill>
          </w14:textFill>
        </w:rPr>
        <w:t>本招标文件中斜体且有下划线部分为实质性要求和条件）。</w:t>
      </w:r>
    </w:p>
    <w:p w14:paraId="309D6B5A">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7FEF83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26.1.9 投标文件含有采购人不能接受的附加条件的。</w:t>
      </w:r>
    </w:p>
    <w:p w14:paraId="1A99F3F7">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26.1.10评标委员会认为投标人的报价明显低于其他通过符合性审查投标人的报价，有可能影响产品质量或者不能诚信履约的，将通过</w:t>
      </w:r>
      <w:r>
        <w:rPr>
          <w:rFonts w:hint="eastAsia" w:ascii="宋体" w:hAnsi="宋体" w:cs="宋体"/>
          <w:color w:val="000000" w:themeColor="text1"/>
          <w:sz w:val="24"/>
          <w:szCs w:val="24"/>
          <w:highlight w:val="none"/>
          <w14:textFill>
            <w14:solidFill>
              <w14:schemeClr w14:val="tx1"/>
            </w14:solidFill>
          </w14:textFill>
        </w:rPr>
        <w:t>苏采云系统</w:t>
      </w:r>
      <w:r>
        <w:rPr>
          <w:rFonts w:hint="eastAsia" w:ascii="宋体" w:hAnsi="宋体" w:cs="宋体"/>
          <w:bCs/>
          <w:color w:val="000000" w:themeColor="text1"/>
          <w:sz w:val="24"/>
          <w:highlight w:val="none"/>
          <w14:textFill>
            <w14:solidFill>
              <w14:schemeClr w14:val="tx1"/>
            </w14:solidFill>
          </w14:textFill>
        </w:rPr>
        <w:t>要求其在合理的时间内提供说明，必要时提交相关证明材料；投标人不能证明其报价合理性的，评标委员会应当将其作为无效投标处理。</w:t>
      </w:r>
    </w:p>
    <w:p w14:paraId="4A709D36">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26.1.11 投标文件未按照招标文件要求加盖CA</w:t>
      </w:r>
      <w:r>
        <w:rPr>
          <w:rFonts w:ascii="宋体" w:hAnsi="宋体" w:cs="宋体"/>
          <w:bCs/>
          <w:color w:val="000000" w:themeColor="text1"/>
          <w:sz w:val="24"/>
          <w:highlight w:val="none"/>
          <w14:textFill>
            <w14:solidFill>
              <w14:schemeClr w14:val="tx1"/>
            </w14:solidFill>
          </w14:textFill>
        </w:rPr>
        <w:t>电子公章的</w:t>
      </w:r>
      <w:r>
        <w:rPr>
          <w:rFonts w:hint="eastAsia" w:ascii="宋体" w:hAnsi="宋体" w:cs="宋体"/>
          <w:bCs/>
          <w:color w:val="000000" w:themeColor="text1"/>
          <w:sz w:val="24"/>
          <w:highlight w:val="none"/>
          <w14:textFill>
            <w14:solidFill>
              <w14:schemeClr w14:val="tx1"/>
            </w14:solidFill>
          </w14:textFill>
        </w:rPr>
        <w:t>。</w:t>
      </w:r>
    </w:p>
    <w:p w14:paraId="0DD34FBD">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26.1.12其他法律、法规及本招标文件规定的属无效投标的情形。</w:t>
      </w:r>
    </w:p>
    <w:p w14:paraId="25E7A6F1">
      <w:pPr>
        <w:pageBreakBefore w:val="0"/>
        <w:widowControl w:val="0"/>
        <w:shd w:val="clear"/>
        <w:kinsoku/>
        <w:wordWrap/>
        <w:overflowPunct/>
        <w:topLinePunct w:val="0"/>
        <w:autoSpaceDE/>
        <w:autoSpaceDN/>
        <w:bidi w:val="0"/>
        <w:adjustRightInd/>
        <w:snapToGrid/>
        <w:spacing w:line="360" w:lineRule="auto"/>
        <w:ind w:left="479"/>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26.2废标条款</w:t>
      </w:r>
    </w:p>
    <w:p w14:paraId="24021C54">
      <w:pPr>
        <w:pageBreakBefore w:val="0"/>
        <w:widowControl w:val="0"/>
        <w:shd w:val="clear"/>
        <w:kinsoku/>
        <w:wordWrap/>
        <w:overflowPunct/>
        <w:topLinePunct w:val="0"/>
        <w:autoSpaceDE/>
        <w:autoSpaceDN/>
        <w:bidi w:val="0"/>
        <w:adjustRightInd/>
        <w:snapToGrid/>
        <w:spacing w:line="360" w:lineRule="auto"/>
        <w:ind w:left="479"/>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26.2.1符合专业条件的供应商或者对招标文件作实质响应的供应商不足三家的。26.2.2出现影响采购公正的违法、违规行为的。</w:t>
      </w:r>
    </w:p>
    <w:p w14:paraId="60B37BDC">
      <w:pPr>
        <w:pageBreakBefore w:val="0"/>
        <w:widowControl w:val="0"/>
        <w:shd w:val="clear"/>
        <w:kinsoku/>
        <w:wordWrap/>
        <w:overflowPunct/>
        <w:topLinePunct w:val="0"/>
        <w:autoSpaceDE/>
        <w:autoSpaceDN/>
        <w:bidi w:val="0"/>
        <w:adjustRightInd/>
        <w:snapToGrid/>
        <w:spacing w:line="360" w:lineRule="auto"/>
        <w:ind w:left="479"/>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26.2.3因重大变故，采购任务取消的。</w:t>
      </w:r>
    </w:p>
    <w:p w14:paraId="62CC6AE9">
      <w:pPr>
        <w:pageBreakBefore w:val="0"/>
        <w:widowControl w:val="0"/>
        <w:shd w:val="clear"/>
        <w:kinsoku/>
        <w:wordWrap/>
        <w:overflowPunct/>
        <w:topLinePunct w:val="0"/>
        <w:autoSpaceDE/>
        <w:autoSpaceDN/>
        <w:bidi w:val="0"/>
        <w:adjustRightInd/>
        <w:snapToGrid/>
        <w:spacing w:line="360" w:lineRule="auto"/>
        <w:ind w:left="479"/>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26.2.4评标委员会认定招标文件存在歧义、重大缺陷导致评审工作无法进行。</w:t>
      </w:r>
    </w:p>
    <w:p w14:paraId="45385888">
      <w:pPr>
        <w:pageBreakBefore w:val="0"/>
        <w:widowControl w:val="0"/>
        <w:shd w:val="clear"/>
        <w:kinsoku/>
        <w:wordWrap/>
        <w:overflowPunct/>
        <w:topLinePunct w:val="0"/>
        <w:autoSpaceDE/>
        <w:autoSpaceDN/>
        <w:bidi w:val="0"/>
        <w:adjustRightInd/>
        <w:snapToGrid/>
        <w:spacing w:line="360" w:lineRule="auto"/>
        <w:ind w:left="479"/>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26.2.5 因</w:t>
      </w:r>
      <w:r>
        <w:rPr>
          <w:rFonts w:hint="eastAsia" w:ascii="宋体" w:hAnsi="宋体" w:cs="宋体"/>
          <w:color w:val="000000" w:themeColor="text1"/>
          <w:sz w:val="24"/>
          <w:szCs w:val="24"/>
          <w:highlight w:val="none"/>
          <w14:textFill>
            <w14:solidFill>
              <w14:schemeClr w14:val="tx1"/>
            </w14:solidFill>
          </w14:textFill>
        </w:rPr>
        <w:t>苏采云系统</w:t>
      </w:r>
      <w:r>
        <w:rPr>
          <w:rFonts w:ascii="宋体" w:hAnsi="宋体" w:cs="宋体"/>
          <w:bCs/>
          <w:color w:val="000000" w:themeColor="text1"/>
          <w:sz w:val="24"/>
          <w:highlight w:val="none"/>
          <w14:textFill>
            <w14:solidFill>
              <w14:schemeClr w14:val="tx1"/>
            </w14:solidFill>
          </w14:textFill>
        </w:rPr>
        <w:t>系统故障原因造成开标不成功</w:t>
      </w:r>
      <w:r>
        <w:rPr>
          <w:rFonts w:hint="eastAsia" w:ascii="宋体" w:hAnsi="宋体" w:cs="宋体"/>
          <w:bCs/>
          <w:color w:val="000000" w:themeColor="text1"/>
          <w:sz w:val="24"/>
          <w:highlight w:val="none"/>
          <w14:textFill>
            <w14:solidFill>
              <w14:schemeClr w14:val="tx1"/>
            </w14:solidFill>
          </w14:textFill>
        </w:rPr>
        <w:t>的</w:t>
      </w:r>
      <w:r>
        <w:rPr>
          <w:rFonts w:ascii="宋体" w:hAnsi="宋体" w:cs="宋体"/>
          <w:bCs/>
          <w:color w:val="000000" w:themeColor="text1"/>
          <w:sz w:val="24"/>
          <w:highlight w:val="none"/>
          <w14:textFill>
            <w14:solidFill>
              <w14:schemeClr w14:val="tx1"/>
            </w14:solidFill>
          </w14:textFill>
        </w:rPr>
        <w:t>。</w:t>
      </w:r>
    </w:p>
    <w:p w14:paraId="4E849E10">
      <w:pPr>
        <w:pageBreakBefore w:val="0"/>
        <w:widowControl w:val="0"/>
        <w:shd w:val="clear"/>
        <w:kinsoku/>
        <w:wordWrap/>
        <w:overflowPunct/>
        <w:topLinePunct w:val="0"/>
        <w:autoSpaceDE/>
        <w:autoSpaceDN/>
        <w:bidi w:val="0"/>
        <w:adjustRightInd/>
        <w:snapToGrid/>
        <w:spacing w:line="360" w:lineRule="auto"/>
        <w:ind w:left="479"/>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26.3 投标截止时间结束后参加投标的供应商不足三家的处理：</w:t>
      </w:r>
    </w:p>
    <w:p w14:paraId="04E79AE7">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167C0D74">
      <w:pPr>
        <w:pStyle w:val="642"/>
        <w:pageBreakBefore w:val="0"/>
        <w:widowControl w:val="0"/>
        <w:shd w:val="clear"/>
        <w:kinsoku/>
        <w:wordWrap/>
        <w:overflowPunct/>
        <w:topLinePunct w:val="0"/>
        <w:autoSpaceDE/>
        <w:autoSpaceDN/>
        <w:bidi w:val="0"/>
        <w:adjustRightInd/>
        <w:snapToGrid/>
        <w:spacing w:before="0" w:after="0" w:line="360" w:lineRule="auto"/>
        <w:ind w:firstLine="482"/>
        <w:contextualSpacing/>
        <w:textAlignment w:val="auto"/>
        <w:rPr>
          <w:rFonts w:ascii="宋体" w:hAnsi="宋体" w:cs="宋体"/>
          <w:color w:val="000000" w:themeColor="text1"/>
          <w:highlight w:val="none"/>
          <w14:textFill>
            <w14:solidFill>
              <w14:schemeClr w14:val="tx1"/>
            </w14:solidFill>
          </w14:textFill>
        </w:rPr>
      </w:pPr>
      <w:bookmarkStart w:id="143" w:name="_Toc120614219"/>
      <w:r>
        <w:rPr>
          <w:rFonts w:hint="eastAsia" w:ascii="宋体" w:hAnsi="宋体" w:cs="宋体"/>
          <w:color w:val="000000" w:themeColor="text1"/>
          <w:highlight w:val="none"/>
          <w14:textFill>
            <w14:solidFill>
              <w14:schemeClr w14:val="tx1"/>
            </w14:solidFill>
          </w14:textFill>
        </w:rPr>
        <w:t>六、</w:t>
      </w:r>
      <w:bookmarkEnd w:id="140"/>
      <w:bookmarkEnd w:id="141"/>
      <w:bookmarkEnd w:id="142"/>
      <w:r>
        <w:rPr>
          <w:rFonts w:hint="eastAsia" w:ascii="宋体" w:hAnsi="宋体" w:cs="宋体"/>
          <w:color w:val="000000" w:themeColor="text1"/>
          <w:highlight w:val="none"/>
          <w14:textFill>
            <w14:solidFill>
              <w14:schemeClr w14:val="tx1"/>
            </w14:solidFill>
          </w14:textFill>
        </w:rPr>
        <w:t>定标</w:t>
      </w:r>
      <w:bookmarkEnd w:id="143"/>
    </w:p>
    <w:p w14:paraId="604266FB">
      <w:pPr>
        <w:pStyle w:val="645"/>
        <w:pageBreakBefore w:val="0"/>
        <w:widowControl w:val="0"/>
        <w:shd w:val="clear"/>
        <w:kinsoku/>
        <w:wordWrap/>
        <w:overflowPunct/>
        <w:topLinePunct w:val="0"/>
        <w:autoSpaceDE/>
        <w:autoSpaceDN/>
        <w:bidi w:val="0"/>
        <w:adjustRightInd/>
        <w:snapToGrid/>
        <w:spacing w:before="0" w:after="0" w:line="360" w:lineRule="auto"/>
        <w:ind w:firstLine="600"/>
        <w:contextualSpacing/>
        <w:textAlignment w:val="auto"/>
        <w:rPr>
          <w:rFonts w:ascii="宋体" w:hAnsi="宋体" w:cs="宋体"/>
          <w:b w:val="0"/>
          <w:color w:val="000000" w:themeColor="text1"/>
          <w:sz w:val="30"/>
          <w:szCs w:val="30"/>
          <w:highlight w:val="none"/>
          <w14:textFill>
            <w14:solidFill>
              <w14:schemeClr w14:val="tx1"/>
            </w14:solidFill>
          </w14:textFill>
        </w:rPr>
      </w:pPr>
      <w:bookmarkStart w:id="144" w:name="_Toc513029238"/>
      <w:bookmarkStart w:id="145" w:name="_Toc16938554"/>
      <w:bookmarkStart w:id="146" w:name="_Toc20823310"/>
      <w:r>
        <w:rPr>
          <w:rFonts w:hint="eastAsia" w:ascii="宋体" w:hAnsi="宋体" w:eastAsia="宋体" w:cs="宋体"/>
          <w:b w:val="0"/>
          <w:color w:val="000000" w:themeColor="text1"/>
          <w:sz w:val="30"/>
          <w:szCs w:val="30"/>
          <w:highlight w:val="none"/>
          <w14:textFill>
            <w14:solidFill>
              <w14:schemeClr w14:val="tx1"/>
            </w14:solidFill>
          </w14:textFill>
        </w:rPr>
        <w:t>27、</w:t>
      </w:r>
      <w:bookmarkEnd w:id="144"/>
      <w:r>
        <w:rPr>
          <w:rFonts w:hint="eastAsia" w:ascii="宋体" w:hAnsi="宋体" w:eastAsia="宋体" w:cs="宋体"/>
          <w:b w:val="0"/>
          <w:color w:val="000000" w:themeColor="text1"/>
          <w:sz w:val="30"/>
          <w:szCs w:val="30"/>
          <w:highlight w:val="none"/>
          <w14:textFill>
            <w14:solidFill>
              <w14:schemeClr w14:val="tx1"/>
            </w14:solidFill>
          </w14:textFill>
        </w:rPr>
        <w:t>确定</w:t>
      </w:r>
      <w:bookmarkEnd w:id="145"/>
      <w:bookmarkEnd w:id="146"/>
      <w:r>
        <w:rPr>
          <w:rFonts w:hint="eastAsia" w:ascii="宋体" w:hAnsi="宋体" w:eastAsia="宋体" w:cs="宋体"/>
          <w:b w:val="0"/>
          <w:color w:val="000000" w:themeColor="text1"/>
          <w:sz w:val="30"/>
          <w:szCs w:val="30"/>
          <w:highlight w:val="none"/>
          <w14:textFill>
            <w14:solidFill>
              <w14:schemeClr w14:val="tx1"/>
            </w14:solidFill>
          </w14:textFill>
        </w:rPr>
        <w:t>中标单位</w:t>
      </w:r>
    </w:p>
    <w:p w14:paraId="5672D822">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27.1中标候选人的选取原则和数量见招标文件第五章规定。 </w:t>
      </w:r>
    </w:p>
    <w:p w14:paraId="3B4C5361">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27.2 采购人应根据评委会推荐的中标候选人确定中标人。</w:t>
      </w:r>
    </w:p>
    <w:p w14:paraId="2DEE5BE1">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27.3 </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将在“江苏政府采购网”发布中标公告，公告期限为1个工作日。</w:t>
      </w:r>
    </w:p>
    <w:p w14:paraId="5E2108E0">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27.4 若有充分证据证明，中标人出现下列情况之一的，一经查实，将被取消中标资格：</w:t>
      </w:r>
    </w:p>
    <w:p w14:paraId="420C2C13">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27.4.1提供虚假材料谋取中标的。</w:t>
      </w:r>
    </w:p>
    <w:p w14:paraId="1B4BAFA1">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27.4.2向采购人、</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行贿或者提供其他不正当利益的。</w:t>
      </w:r>
    </w:p>
    <w:p w14:paraId="18EF1AE3">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27.4.3属于本文件规定的无效条件，但在评标过程中又未被评委会发现的。</w:t>
      </w:r>
    </w:p>
    <w:p w14:paraId="1FD90519">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27.4.4与采购人或者其他供应商恶意串通的。</w:t>
      </w:r>
    </w:p>
    <w:p w14:paraId="50944D1D">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27.4.5采取不正当手段诋毁、排挤其他供应商的。</w:t>
      </w:r>
    </w:p>
    <w:p w14:paraId="709981B4">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bookmarkStart w:id="147" w:name="_Toc200451960"/>
      <w:r>
        <w:rPr>
          <w:rFonts w:hint="eastAsia" w:ascii="宋体" w:hAnsi="宋体" w:cs="宋体"/>
          <w:color w:val="000000" w:themeColor="text1"/>
          <w:sz w:val="24"/>
          <w:szCs w:val="24"/>
          <w:highlight w:val="none"/>
          <w14:textFill>
            <w14:solidFill>
              <w14:schemeClr w14:val="tx1"/>
            </w14:solidFill>
          </w14:textFill>
        </w:rPr>
        <w:t xml:space="preserve">27.5 </w:t>
      </w:r>
      <w:r>
        <w:rPr>
          <w:rFonts w:ascii="宋体" w:hAnsi="宋体" w:cs="宋体"/>
          <w:color w:val="000000" w:themeColor="text1"/>
          <w:sz w:val="24"/>
          <w:szCs w:val="24"/>
          <w:highlight w:val="none"/>
          <w14:textFill>
            <w14:solidFill>
              <w14:schemeClr w14:val="tx1"/>
            </w14:solidFill>
          </w14:textFill>
        </w:rPr>
        <w:t>有下列情形之一的，</w:t>
      </w:r>
      <w:r>
        <w:rPr>
          <w:rFonts w:hint="eastAsia" w:ascii="宋体" w:hAnsi="宋体" w:cs="宋体"/>
          <w:color w:val="000000" w:themeColor="text1"/>
          <w:sz w:val="24"/>
          <w:szCs w:val="24"/>
          <w:highlight w:val="none"/>
          <w14:textFill>
            <w14:solidFill>
              <w14:schemeClr w14:val="tx1"/>
            </w14:solidFill>
          </w14:textFill>
        </w:rPr>
        <w:t>视为投标人</w:t>
      </w:r>
      <w:r>
        <w:rPr>
          <w:rFonts w:ascii="宋体" w:hAnsi="宋体" w:cs="宋体"/>
          <w:color w:val="000000" w:themeColor="text1"/>
          <w:sz w:val="24"/>
          <w:szCs w:val="24"/>
          <w:highlight w:val="none"/>
          <w14:textFill>
            <w14:solidFill>
              <w14:schemeClr w14:val="tx1"/>
            </w14:solidFill>
          </w14:textFill>
        </w:rPr>
        <w:t>串通</w:t>
      </w:r>
      <w:r>
        <w:rPr>
          <w:rFonts w:hint="eastAsia" w:ascii="宋体" w:hAnsi="宋体" w:cs="宋体"/>
          <w:color w:val="000000" w:themeColor="text1"/>
          <w:sz w:val="24"/>
          <w:szCs w:val="24"/>
          <w:highlight w:val="none"/>
          <w14:textFill>
            <w14:solidFill>
              <w14:schemeClr w14:val="tx1"/>
            </w14:solidFill>
          </w14:textFill>
        </w:rPr>
        <w:t>投标，投标无效：</w:t>
      </w:r>
    </w:p>
    <w:p w14:paraId="02732ADF">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27.5.1不同投标人的投标文件由同一单位或者个人编制。</w:t>
      </w:r>
    </w:p>
    <w:p w14:paraId="60844AC5">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27.5.2不同投标人委托同一单位或者个人办理投标事宜。</w:t>
      </w:r>
    </w:p>
    <w:p w14:paraId="6ADAE0B9">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27.5.3 不同投标人的投标文件载明的项目管理成员或者联系人员为同一人。</w:t>
      </w:r>
    </w:p>
    <w:p w14:paraId="0A66A741">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27.5.4不同投标人的投标文件异常一致或者投标报价呈规律性差异。</w:t>
      </w:r>
    </w:p>
    <w:p w14:paraId="62FAC7D9">
      <w:pPr>
        <w:pStyle w:val="645"/>
        <w:pageBreakBefore w:val="0"/>
        <w:widowControl w:val="0"/>
        <w:shd w:val="clear"/>
        <w:kinsoku/>
        <w:wordWrap/>
        <w:overflowPunct/>
        <w:topLinePunct w:val="0"/>
        <w:autoSpaceDE/>
        <w:autoSpaceDN/>
        <w:bidi w:val="0"/>
        <w:adjustRightInd/>
        <w:snapToGrid/>
        <w:spacing w:before="0" w:after="0" w:line="360" w:lineRule="auto"/>
        <w:ind w:firstLine="600"/>
        <w:contextualSpacing/>
        <w:textAlignment w:val="auto"/>
        <w:rPr>
          <w:rFonts w:ascii="宋体" w:hAnsi="宋体" w:cs="宋体"/>
          <w:b w:val="0"/>
          <w:color w:val="000000" w:themeColor="text1"/>
          <w:sz w:val="30"/>
          <w:szCs w:val="30"/>
          <w:highlight w:val="none"/>
          <w14:textFill>
            <w14:solidFill>
              <w14:schemeClr w14:val="tx1"/>
            </w14:solidFill>
          </w14:textFill>
        </w:rPr>
      </w:pPr>
      <w:r>
        <w:rPr>
          <w:rFonts w:hint="eastAsia" w:ascii="宋体" w:hAnsi="宋体" w:eastAsia="宋体" w:cs="宋体"/>
          <w:b w:val="0"/>
          <w:color w:val="000000" w:themeColor="text1"/>
          <w:sz w:val="30"/>
          <w:szCs w:val="30"/>
          <w:highlight w:val="none"/>
          <w14:textFill>
            <w14:solidFill>
              <w14:schemeClr w14:val="tx1"/>
            </w14:solidFill>
          </w14:textFill>
        </w:rPr>
        <w:t>28、质疑处理</w:t>
      </w:r>
      <w:bookmarkEnd w:id="147"/>
    </w:p>
    <w:p w14:paraId="09A93005">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28.1提出质疑的供应商应当是参与所质疑项目采购活动的供应商。潜在供应商依法获取其可质疑的采购文件的，可以对采购文件提出质疑。</w:t>
      </w:r>
    </w:p>
    <w:p w14:paraId="6A8D791D">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color w:val="000000" w:themeColor="text1"/>
          <w:sz w:val="24"/>
          <w:highlight w:val="none"/>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或采购人提出质疑。上述应知其权益受到损害之日，是指：</w:t>
      </w:r>
    </w:p>
    <w:p w14:paraId="787C0C37">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28.2.1</w:t>
      </w:r>
      <w:r>
        <w:rPr>
          <w:rFonts w:ascii="宋体" w:hAnsi="宋体" w:cs="宋体"/>
          <w:color w:val="000000" w:themeColor="text1"/>
          <w:sz w:val="24"/>
          <w:szCs w:val="24"/>
          <w:highlight w:val="none"/>
          <w14:textFill>
            <w14:solidFill>
              <w14:schemeClr w14:val="tx1"/>
            </w14:solidFill>
          </w14:textFill>
        </w:rPr>
        <w:t>对可以质疑的采购文件提出质疑的，为收到采购文件之日或者采购文件公告期限届满之日；</w:t>
      </w:r>
    </w:p>
    <w:p w14:paraId="0312C8A2">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28.2.2</w:t>
      </w:r>
      <w:r>
        <w:rPr>
          <w:rFonts w:ascii="宋体" w:hAnsi="宋体" w:cs="宋体"/>
          <w:color w:val="000000" w:themeColor="text1"/>
          <w:sz w:val="24"/>
          <w:szCs w:val="24"/>
          <w:highlight w:val="none"/>
          <w14:textFill>
            <w14:solidFill>
              <w14:schemeClr w14:val="tx1"/>
            </w14:solidFill>
          </w14:textFill>
        </w:rPr>
        <w:t>对采购过程提出质疑的，为各采购程序环节结束之日；</w:t>
      </w:r>
    </w:p>
    <w:p w14:paraId="26605BF4">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28.2.3</w:t>
      </w:r>
      <w:r>
        <w:rPr>
          <w:rFonts w:ascii="宋体" w:hAnsi="宋体" w:cs="宋体"/>
          <w:color w:val="000000" w:themeColor="text1"/>
          <w:sz w:val="24"/>
          <w:szCs w:val="24"/>
          <w:highlight w:val="none"/>
          <w14:textFill>
            <w14:solidFill>
              <w14:schemeClr w14:val="tx1"/>
            </w14:solidFill>
          </w14:textFill>
        </w:rPr>
        <w:t>对中标或者成交结果提出质疑的，为中标或者成交结果公告期限届满之日。</w:t>
      </w:r>
    </w:p>
    <w:p w14:paraId="1C347C19">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供应商应当在法定质疑期内一次性提出针对同一采购程序环节的质疑。供应商如在法定期限内对同一采购程序环节提出多次质疑的，招标代理机构、</w:t>
      </w:r>
      <w:r>
        <w:rPr>
          <w:rFonts w:ascii="宋体" w:hAnsi="宋体" w:cs="宋体"/>
          <w:color w:val="000000" w:themeColor="text1"/>
          <w:sz w:val="24"/>
          <w:szCs w:val="24"/>
          <w:highlight w:val="none"/>
          <w14:textFill>
            <w14:solidFill>
              <w14:schemeClr w14:val="tx1"/>
            </w14:solidFill>
          </w14:textFill>
        </w:rPr>
        <w:t>采购人</w:t>
      </w:r>
      <w:r>
        <w:rPr>
          <w:rFonts w:hint="eastAsia" w:ascii="宋体" w:hAnsi="宋体" w:cs="宋体"/>
          <w:color w:val="000000" w:themeColor="text1"/>
          <w:sz w:val="24"/>
          <w:szCs w:val="24"/>
          <w:highlight w:val="none"/>
          <w14:textFill>
            <w14:solidFill>
              <w14:schemeClr w14:val="tx1"/>
            </w14:solidFill>
          </w14:textFill>
        </w:rPr>
        <w:t>将只对供应商第一次质疑作出答复。</w:t>
      </w:r>
    </w:p>
    <w:p w14:paraId="5CBCB639">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28.3质疑函必须按照本招标文件中《质疑函范本》要求的格式和内容进行填写。供应商如组成联合体参加投标，则《质疑函范本》中要求签字、盖章、加盖公章之处，联合体各方均须按要求签字、盖章、加盖公章。</w:t>
      </w:r>
    </w:p>
    <w:p w14:paraId="0E6C051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28.4招标代理机构及采购人只接收以纸质原件形式送达的质疑,建议供应商尽量通过邮寄方式提交质疑（采购人和招标代理机构不接受未填写快递运单的快件）。</w:t>
      </w:r>
    </w:p>
    <w:p w14:paraId="6F350332">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招标代理机构质疑接收部门为质疑处理科（快递运单上的收件人填写“质疑处理科”即可），联系地址：苏州张家港市杨舍镇农联村委会门卫楼3F，联系电话：13812868803。</w:t>
      </w:r>
    </w:p>
    <w:p w14:paraId="511BF881">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采购人质疑接收人及联系方式见招标文件第一章。</w:t>
      </w:r>
    </w:p>
    <w:p w14:paraId="4B06878E">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28.5 以下情形的质疑不予受理</w:t>
      </w:r>
    </w:p>
    <w:p w14:paraId="770798C1">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28.5.1 内容不符合《政府采购质疑和投诉办法》第十二条规定的质疑。</w:t>
      </w:r>
    </w:p>
    <w:p w14:paraId="67E2E823">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28.5.2 超出政府采购法定期限的质疑。</w:t>
      </w:r>
    </w:p>
    <w:p w14:paraId="364E075B">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28.5.3 以传真、电子邮件等方式递交的非原件形式的质疑。</w:t>
      </w:r>
    </w:p>
    <w:p w14:paraId="388CA0F4">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28.5.4 未参加投标活动的供应商或在投标活动中自身权益未受到损害的供应商所提出的质疑。</w:t>
      </w:r>
    </w:p>
    <w:p w14:paraId="6845044D">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28.5.5供应商组成联合体参加投标，联合体中任何一方或多方未按要求签字、盖章、加盖公章的质疑。</w:t>
      </w:r>
    </w:p>
    <w:p w14:paraId="712A7905">
      <w:pPr>
        <w:pageBreakBefore w:val="0"/>
        <w:widowControl w:val="0"/>
        <w:shd w:val="clear"/>
        <w:kinsoku/>
        <w:wordWrap/>
        <w:overflowPunct/>
        <w:topLinePunct w:val="0"/>
        <w:autoSpaceDE/>
        <w:autoSpaceDN/>
        <w:bidi w:val="0"/>
        <w:adjustRightInd/>
        <w:snapToGrid/>
        <w:spacing w:line="360" w:lineRule="auto"/>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28.6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p>
    <w:p w14:paraId="377A15FC">
      <w:pPr>
        <w:pStyle w:val="645"/>
        <w:pageBreakBefore w:val="0"/>
        <w:widowControl w:val="0"/>
        <w:shd w:val="clear"/>
        <w:kinsoku/>
        <w:wordWrap/>
        <w:overflowPunct/>
        <w:topLinePunct w:val="0"/>
        <w:autoSpaceDE/>
        <w:autoSpaceDN/>
        <w:bidi w:val="0"/>
        <w:adjustRightInd/>
        <w:snapToGrid/>
        <w:spacing w:before="0" w:after="0" w:line="360" w:lineRule="auto"/>
        <w:ind w:firstLine="600"/>
        <w:contextualSpacing/>
        <w:textAlignment w:val="auto"/>
        <w:rPr>
          <w:rFonts w:ascii="宋体" w:hAnsi="宋体" w:cs="宋体"/>
          <w:b w:val="0"/>
          <w:color w:val="000000" w:themeColor="text1"/>
          <w:sz w:val="30"/>
          <w:szCs w:val="30"/>
          <w:highlight w:val="none"/>
          <w14:textFill>
            <w14:solidFill>
              <w14:schemeClr w14:val="tx1"/>
            </w14:solidFill>
          </w14:textFill>
        </w:rPr>
      </w:pPr>
      <w:r>
        <w:rPr>
          <w:rFonts w:hint="eastAsia" w:ascii="宋体" w:hAnsi="宋体" w:eastAsia="宋体" w:cs="宋体"/>
          <w:b w:val="0"/>
          <w:color w:val="000000" w:themeColor="text1"/>
          <w:sz w:val="30"/>
          <w:szCs w:val="30"/>
          <w:highlight w:val="none"/>
          <w14:textFill>
            <w14:solidFill>
              <w14:schemeClr w14:val="tx1"/>
            </w14:solidFill>
          </w14:textFill>
        </w:rPr>
        <w:t>29、中标通知书</w:t>
      </w:r>
    </w:p>
    <w:p w14:paraId="0B6C80E2">
      <w:pPr>
        <w:pageBreakBefore w:val="0"/>
        <w:widowControl w:val="0"/>
        <w:shd w:val="clear"/>
        <w:kinsoku/>
        <w:wordWrap/>
        <w:overflowPunct/>
        <w:topLinePunct w:val="0"/>
        <w:autoSpaceDE/>
        <w:autoSpaceDN/>
        <w:bidi w:val="0"/>
        <w:adjustRightInd/>
        <w:snapToGrid/>
        <w:spacing w:line="360" w:lineRule="auto"/>
        <w:ind w:firstLine="60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29.l</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331F58A">
      <w:pPr>
        <w:pageBreakBefore w:val="0"/>
        <w:widowControl w:val="0"/>
        <w:shd w:val="clear"/>
        <w:kinsoku/>
        <w:wordWrap/>
        <w:overflowPunct/>
        <w:topLinePunct w:val="0"/>
        <w:autoSpaceDE/>
        <w:autoSpaceDN/>
        <w:bidi w:val="0"/>
        <w:adjustRightInd/>
        <w:snapToGrid/>
        <w:spacing w:line="360" w:lineRule="auto"/>
        <w:ind w:firstLine="60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29.</w:t>
      </w:r>
      <w:r>
        <w:rPr>
          <w:rFonts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24A5EBBA">
      <w:pPr>
        <w:pStyle w:val="642"/>
        <w:pageBreakBefore w:val="0"/>
        <w:widowControl w:val="0"/>
        <w:shd w:val="clear"/>
        <w:kinsoku/>
        <w:wordWrap/>
        <w:overflowPunct/>
        <w:topLinePunct w:val="0"/>
        <w:autoSpaceDE/>
        <w:autoSpaceDN/>
        <w:bidi w:val="0"/>
        <w:adjustRightInd/>
        <w:snapToGrid/>
        <w:spacing w:before="0" w:after="0" w:line="360" w:lineRule="auto"/>
        <w:contextualSpacing/>
        <w:textAlignment w:val="auto"/>
        <w:rPr>
          <w:rFonts w:ascii="宋体" w:hAnsi="宋体" w:cs="宋体"/>
          <w:color w:val="000000" w:themeColor="text1"/>
          <w:highlight w:val="none"/>
          <w14:textFill>
            <w14:solidFill>
              <w14:schemeClr w14:val="tx1"/>
            </w14:solidFill>
          </w14:textFill>
        </w:rPr>
      </w:pPr>
      <w:bookmarkStart w:id="148" w:name="_Toc513029236"/>
      <w:bookmarkStart w:id="149" w:name="_Toc120614220"/>
      <w:bookmarkStart w:id="150" w:name="_Toc16938552"/>
      <w:bookmarkStart w:id="151" w:name="_Toc20823308"/>
      <w:r>
        <w:rPr>
          <w:rFonts w:hint="eastAsia" w:ascii="宋体" w:hAnsi="宋体" w:cs="宋体"/>
          <w:color w:val="000000" w:themeColor="text1"/>
          <w:highlight w:val="none"/>
          <w14:textFill>
            <w14:solidFill>
              <w14:schemeClr w14:val="tx1"/>
            </w14:solidFill>
          </w14:textFill>
        </w:rPr>
        <w:t>七、授予合同</w:t>
      </w:r>
      <w:bookmarkEnd w:id="148"/>
      <w:bookmarkEnd w:id="149"/>
      <w:bookmarkEnd w:id="150"/>
      <w:bookmarkEnd w:id="151"/>
    </w:p>
    <w:p w14:paraId="175D68F5">
      <w:pPr>
        <w:pStyle w:val="645"/>
        <w:pageBreakBefore w:val="0"/>
        <w:widowControl w:val="0"/>
        <w:shd w:val="clear"/>
        <w:kinsoku/>
        <w:wordWrap/>
        <w:overflowPunct/>
        <w:topLinePunct w:val="0"/>
        <w:autoSpaceDE/>
        <w:autoSpaceDN/>
        <w:bidi w:val="0"/>
        <w:adjustRightInd/>
        <w:snapToGrid/>
        <w:spacing w:before="0" w:after="0" w:line="360" w:lineRule="auto"/>
        <w:ind w:firstLine="600"/>
        <w:contextualSpacing/>
        <w:textAlignment w:val="auto"/>
        <w:rPr>
          <w:rFonts w:ascii="宋体" w:hAnsi="宋体" w:cs="宋体"/>
          <w:b w:val="0"/>
          <w:color w:val="000000" w:themeColor="text1"/>
          <w:sz w:val="30"/>
          <w:szCs w:val="30"/>
          <w:highlight w:val="none"/>
          <w14:textFill>
            <w14:solidFill>
              <w14:schemeClr w14:val="tx1"/>
            </w14:solidFill>
          </w14:textFill>
        </w:rPr>
      </w:pPr>
      <w:bookmarkStart w:id="152" w:name="_Toc513029237"/>
      <w:bookmarkStart w:id="153" w:name="_Toc16938553"/>
      <w:bookmarkStart w:id="154" w:name="_Toc20823309"/>
      <w:r>
        <w:rPr>
          <w:rFonts w:hint="eastAsia" w:ascii="宋体" w:hAnsi="宋体" w:eastAsia="宋体" w:cs="宋体"/>
          <w:b w:val="0"/>
          <w:color w:val="000000" w:themeColor="text1"/>
          <w:sz w:val="30"/>
          <w:szCs w:val="30"/>
          <w:highlight w:val="none"/>
          <w14:textFill>
            <w14:solidFill>
              <w14:schemeClr w14:val="tx1"/>
            </w14:solidFill>
          </w14:textFill>
        </w:rPr>
        <w:t>30. 签订合同</w:t>
      </w:r>
    </w:p>
    <w:p w14:paraId="2D63E410">
      <w:pPr>
        <w:pageBreakBefore w:val="0"/>
        <w:widowControl w:val="0"/>
        <w:shd w:val="clear"/>
        <w:kinsoku/>
        <w:wordWrap/>
        <w:overflowPunct/>
        <w:topLinePunct w:val="0"/>
        <w:autoSpaceDE/>
        <w:autoSpaceDN/>
        <w:bidi w:val="0"/>
        <w:adjustRightInd/>
        <w:snapToGrid/>
        <w:spacing w:line="360" w:lineRule="auto"/>
        <w:ind w:firstLine="60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30</w:t>
      </w:r>
      <w:r>
        <w:rPr>
          <w:rFonts w:hint="eastAsia" w:ascii="宋体" w:hAnsi="宋体" w:cs="宋体"/>
          <w:color w:val="000000" w:themeColor="text1"/>
          <w:sz w:val="24"/>
          <w:szCs w:val="24"/>
          <w:highlight w:val="none"/>
          <w14:textFill>
            <w14:solidFill>
              <w14:schemeClr w14:val="tx1"/>
            </w14:solidFill>
          </w14:textFill>
        </w:rPr>
        <w:t>.l中标人应当在中标通知书发出之日起三十日内，按照招标文件确定的事项与采购人签订政府采购合同。</w:t>
      </w:r>
    </w:p>
    <w:p w14:paraId="1FB8299B">
      <w:pPr>
        <w:pageBreakBefore w:val="0"/>
        <w:widowControl w:val="0"/>
        <w:shd w:val="clear"/>
        <w:kinsoku/>
        <w:wordWrap/>
        <w:overflowPunct/>
        <w:topLinePunct w:val="0"/>
        <w:autoSpaceDE/>
        <w:autoSpaceDN/>
        <w:bidi w:val="0"/>
        <w:adjustRightInd/>
        <w:snapToGrid/>
        <w:spacing w:line="360" w:lineRule="auto"/>
        <w:ind w:firstLine="60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30.2</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2B92AB71">
      <w:pPr>
        <w:pageBreakBefore w:val="0"/>
        <w:widowControl w:val="0"/>
        <w:shd w:val="clear"/>
        <w:kinsoku/>
        <w:wordWrap/>
        <w:overflowPunct/>
        <w:topLinePunct w:val="0"/>
        <w:autoSpaceDE/>
        <w:autoSpaceDN/>
        <w:bidi w:val="0"/>
        <w:adjustRightInd/>
        <w:snapToGrid/>
        <w:spacing w:line="360" w:lineRule="auto"/>
        <w:ind w:firstLine="60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30.3 签订合同后，</w:t>
      </w:r>
      <w:r>
        <w:rPr>
          <w:rFonts w:hint="eastAsia" w:ascii="宋体" w:hAnsi="宋体" w:cs="宋体"/>
          <w:i/>
          <w:color w:val="000000" w:themeColor="text1"/>
          <w:sz w:val="24"/>
          <w:szCs w:val="24"/>
          <w:highlight w:val="none"/>
          <w:u w:val="single"/>
          <w14:textFill>
            <w14:solidFill>
              <w14:schemeClr w14:val="tx1"/>
            </w14:solidFill>
          </w14:textFill>
        </w:rPr>
        <w:t>中标人不得将合同标的进行转包</w:t>
      </w:r>
      <w:r>
        <w:rPr>
          <w:rFonts w:hint="eastAsia" w:ascii="宋体" w:hAnsi="宋体" w:cs="宋体"/>
          <w:color w:val="000000" w:themeColor="text1"/>
          <w:sz w:val="24"/>
          <w:szCs w:val="24"/>
          <w:highlight w:val="none"/>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55D61847">
      <w:pPr>
        <w:keepNext/>
        <w:keepLines/>
        <w:pageBreakBefore w:val="0"/>
        <w:widowControl w:val="0"/>
        <w:shd w:val="clear"/>
        <w:kinsoku/>
        <w:wordWrap/>
        <w:overflowPunct/>
        <w:topLinePunct w:val="0"/>
        <w:autoSpaceDE/>
        <w:autoSpaceDN/>
        <w:bidi w:val="0"/>
        <w:adjustRightInd/>
        <w:snapToGrid/>
        <w:spacing w:line="360" w:lineRule="auto"/>
        <w:ind w:firstLine="560"/>
        <w:textAlignment w:val="auto"/>
        <w:outlineLvl w:val="3"/>
        <w:rPr>
          <w:rFonts w:hint="eastAsia" w:ascii="宋体" w:hAnsi="宋体" w:eastAsia="宋体" w:cs="Arial"/>
          <w:bCs/>
          <w:color w:val="000000" w:themeColor="text1"/>
          <w:sz w:val="28"/>
          <w:szCs w:val="28"/>
          <w:highlight w:val="none"/>
          <w14:textFill>
            <w14:solidFill>
              <w14:schemeClr w14:val="tx1"/>
            </w14:solidFill>
          </w14:textFill>
          <w14:ligatures w14:val="none"/>
        </w:rPr>
      </w:pPr>
      <w:r>
        <w:rPr>
          <w:rFonts w:hint="eastAsia" w:ascii="宋体" w:hAnsi="宋体" w:eastAsia="宋体" w:cs="Arial"/>
          <w:bCs/>
          <w:color w:val="000000" w:themeColor="text1"/>
          <w:sz w:val="28"/>
          <w:szCs w:val="28"/>
          <w:highlight w:val="none"/>
          <w14:textFill>
            <w14:solidFill>
              <w14:schemeClr w14:val="tx1"/>
            </w14:solidFill>
          </w14:textFill>
          <w14:ligatures w14:val="none"/>
        </w:rPr>
        <w:t>3</w:t>
      </w:r>
      <w:r>
        <w:rPr>
          <w:rFonts w:hint="eastAsia" w:ascii="宋体" w:hAnsi="宋体" w:eastAsia="宋体" w:cs="Arial"/>
          <w:bCs/>
          <w:color w:val="000000" w:themeColor="text1"/>
          <w:sz w:val="28"/>
          <w:szCs w:val="28"/>
          <w:highlight w:val="none"/>
          <w:lang w:val="en-US" w:eastAsia="zh-CN"/>
          <w14:textFill>
            <w14:solidFill>
              <w14:schemeClr w14:val="tx1"/>
            </w14:solidFill>
          </w14:textFill>
          <w14:ligatures w14:val="none"/>
        </w:rPr>
        <w:t>1</w:t>
      </w:r>
      <w:r>
        <w:rPr>
          <w:rFonts w:hint="eastAsia" w:ascii="宋体" w:hAnsi="宋体" w:eastAsia="宋体" w:cs="Arial"/>
          <w:bCs/>
          <w:color w:val="000000" w:themeColor="text1"/>
          <w:sz w:val="28"/>
          <w:szCs w:val="28"/>
          <w:highlight w:val="none"/>
          <w14:textFill>
            <w14:solidFill>
              <w14:schemeClr w14:val="tx1"/>
            </w14:solidFill>
          </w14:textFill>
          <w14:ligatures w14:val="none"/>
        </w:rPr>
        <w:t>、履约保证金</w:t>
      </w:r>
    </w:p>
    <w:p w14:paraId="194154D6">
      <w:pPr>
        <w:pageBreakBefore w:val="0"/>
        <w:widowControl w:val="0"/>
        <w:shd w:val="clear"/>
        <w:kinsoku/>
        <w:wordWrap/>
        <w:overflowPunct/>
        <w:topLinePunct w:val="0"/>
        <w:autoSpaceDE/>
        <w:autoSpaceDN/>
        <w:bidi w:val="0"/>
        <w:adjustRightInd/>
        <w:snapToGrid/>
        <w:spacing w:line="360" w:lineRule="auto"/>
        <w:ind w:firstLine="508"/>
        <w:textAlignment w:val="auto"/>
        <w:rPr>
          <w:rFonts w:hint="eastAsia" w:ascii="宋体" w:hAnsi="宋体" w:eastAsia="宋体" w:cs="宋体"/>
          <w:color w:val="000000" w:themeColor="text1"/>
          <w:spacing w:val="0"/>
          <w:sz w:val="24"/>
          <w:szCs w:val="24"/>
          <w:highlight w:val="none"/>
          <w14:textFill>
            <w14:solidFill>
              <w14:schemeClr w14:val="tx1"/>
            </w14:solidFill>
          </w14:textFill>
          <w14:ligatures w14:val="none"/>
        </w:rPr>
      </w:pPr>
      <w:r>
        <w:rPr>
          <w:rFonts w:ascii="宋体" w:hAnsi="宋体" w:eastAsia="宋体" w:cs="宋体"/>
          <w:color w:val="000000" w:themeColor="text1"/>
          <w:spacing w:val="0"/>
          <w:sz w:val="24"/>
          <w:szCs w:val="24"/>
          <w:highlight w:val="none"/>
          <w14:textFill>
            <w14:solidFill>
              <w14:schemeClr w14:val="tx1"/>
            </w14:solidFill>
          </w14:textFill>
          <w14:ligatures w14:val="none"/>
        </w:rPr>
        <w:t>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14:ligatures w14:val="none"/>
        </w:rPr>
        <w:t>1</w:t>
      </w:r>
      <w:r>
        <w:rPr>
          <w:rFonts w:ascii="宋体" w:hAnsi="宋体" w:eastAsia="宋体" w:cs="宋体"/>
          <w:color w:val="000000" w:themeColor="text1"/>
          <w:spacing w:val="0"/>
          <w:sz w:val="24"/>
          <w:szCs w:val="24"/>
          <w:highlight w:val="none"/>
          <w14:textFill>
            <w14:solidFill>
              <w14:schemeClr w14:val="tx1"/>
            </w14:solidFill>
          </w14:textFill>
          <w14:ligatures w14:val="none"/>
        </w:rPr>
        <w:t xml:space="preserve">.1 </w:t>
      </w:r>
      <w:r>
        <w:rPr>
          <w:rFonts w:hint="eastAsia" w:ascii="宋体" w:hAnsi="宋体" w:eastAsia="宋体" w:cs="宋体"/>
          <w:color w:val="000000" w:themeColor="text1"/>
          <w:spacing w:val="0"/>
          <w:sz w:val="24"/>
          <w:szCs w:val="24"/>
          <w:highlight w:val="none"/>
          <w14:textFill>
            <w14:solidFill>
              <w14:schemeClr w14:val="tx1"/>
            </w14:solidFill>
          </w14:textFill>
          <w14:ligatures w14:val="none"/>
        </w:rPr>
        <w:t>合同签订前，中标人向采购单位交付的履约保证金为合同总价款2％。</w:t>
      </w:r>
    </w:p>
    <w:p w14:paraId="0BE260F9">
      <w:pPr>
        <w:pageBreakBefore w:val="0"/>
        <w:widowControl w:val="0"/>
        <w:shd w:val="clear"/>
        <w:kinsoku/>
        <w:wordWrap/>
        <w:overflowPunct/>
        <w:topLinePunct w:val="0"/>
        <w:autoSpaceDE/>
        <w:autoSpaceDN/>
        <w:bidi w:val="0"/>
        <w:adjustRightInd/>
        <w:snapToGrid/>
        <w:spacing w:line="360" w:lineRule="auto"/>
        <w:ind w:firstLine="508"/>
        <w:textAlignment w:val="auto"/>
        <w:rPr>
          <w:rFonts w:hint="eastAsia" w:ascii="宋体" w:hAnsi="宋体" w:eastAsia="宋体" w:cs="宋体"/>
          <w:color w:val="000000" w:themeColor="text1"/>
          <w:spacing w:val="0"/>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0"/>
          <w:sz w:val="24"/>
          <w:szCs w:val="24"/>
          <w:highlight w:val="none"/>
          <w14:textFill>
            <w14:solidFill>
              <w14:schemeClr w14:val="tx1"/>
            </w14:solidFill>
          </w14:textFill>
          <w14:ligatures w14:val="none"/>
        </w:rPr>
        <w:t>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14:ligatures w14:val="none"/>
        </w:rPr>
        <w:t>1</w:t>
      </w:r>
      <w:r>
        <w:rPr>
          <w:rFonts w:hint="eastAsia" w:ascii="宋体" w:hAnsi="宋体" w:eastAsia="宋体" w:cs="宋体"/>
          <w:color w:val="000000" w:themeColor="text1"/>
          <w:spacing w:val="0"/>
          <w:sz w:val="24"/>
          <w:szCs w:val="24"/>
          <w:highlight w:val="none"/>
          <w14:textFill>
            <w14:solidFill>
              <w14:schemeClr w14:val="tx1"/>
            </w14:solidFill>
          </w14:textFill>
          <w14:ligatures w14:val="none"/>
        </w:rPr>
        <w:t>.2</w:t>
      </w:r>
      <w:r>
        <w:rPr>
          <w:color w:val="000000" w:themeColor="text1"/>
          <w:spacing w:val="0"/>
          <w:highlight w:val="none"/>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14:ligatures w14:val="none"/>
        </w:rPr>
        <w:t>履约保证金必须是人民币。履约保证金应当以支票、汇票、本票或者金融机构、担保机构出具的保函等非现金形式提交。</w:t>
      </w:r>
    </w:p>
    <w:p w14:paraId="5ACF1AA4">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596E22A7">
      <w:pPr>
        <w:pStyle w:val="645"/>
        <w:pageBreakBefore w:val="0"/>
        <w:widowControl w:val="0"/>
        <w:shd w:val="clear"/>
        <w:kinsoku/>
        <w:wordWrap/>
        <w:overflowPunct/>
        <w:topLinePunct w:val="0"/>
        <w:autoSpaceDE/>
        <w:autoSpaceDN/>
        <w:bidi w:val="0"/>
        <w:adjustRightInd/>
        <w:snapToGrid/>
        <w:spacing w:before="0" w:after="0" w:line="360" w:lineRule="auto"/>
        <w:ind w:firstLine="600"/>
        <w:contextualSpacing/>
        <w:textAlignment w:val="auto"/>
        <w:rPr>
          <w:rFonts w:ascii="宋体" w:hAnsi="宋体" w:cs="宋体"/>
          <w:b w:val="0"/>
          <w:color w:val="000000" w:themeColor="text1"/>
          <w:sz w:val="30"/>
          <w:szCs w:val="30"/>
          <w:highlight w:val="none"/>
          <w14:textFill>
            <w14:solidFill>
              <w14:schemeClr w14:val="tx1"/>
            </w14:solidFill>
          </w14:textFill>
        </w:rPr>
      </w:pPr>
      <w:r>
        <w:rPr>
          <w:rFonts w:hint="eastAsia" w:ascii="宋体" w:hAnsi="宋体" w:eastAsia="宋体" w:cs="宋体"/>
          <w:b w:val="0"/>
          <w:color w:val="000000" w:themeColor="text1"/>
          <w:sz w:val="30"/>
          <w:szCs w:val="30"/>
          <w:highlight w:val="none"/>
          <w14:textFill>
            <w14:solidFill>
              <w14:schemeClr w14:val="tx1"/>
            </w14:solidFill>
          </w14:textFill>
        </w:rPr>
        <w:t>3</w:t>
      </w:r>
      <w:r>
        <w:rPr>
          <w:rFonts w:hint="eastAsia" w:ascii="宋体" w:hAnsi="宋体" w:eastAsia="宋体" w:cs="宋体"/>
          <w:b w:val="0"/>
          <w:color w:val="000000" w:themeColor="text1"/>
          <w:sz w:val="30"/>
          <w:szCs w:val="30"/>
          <w:highlight w:val="none"/>
          <w:lang w:val="en-US" w:eastAsia="zh-CN"/>
          <w14:textFill>
            <w14:solidFill>
              <w14:schemeClr w14:val="tx1"/>
            </w14:solidFill>
          </w14:textFill>
        </w:rPr>
        <w:t>2</w:t>
      </w:r>
      <w:r>
        <w:rPr>
          <w:rFonts w:hint="eastAsia" w:ascii="宋体" w:hAnsi="宋体" w:eastAsia="宋体" w:cs="宋体"/>
          <w:b w:val="0"/>
          <w:color w:val="000000" w:themeColor="text1"/>
          <w:sz w:val="30"/>
          <w:szCs w:val="30"/>
          <w:highlight w:val="none"/>
          <w14:textFill>
            <w14:solidFill>
              <w14:schemeClr w14:val="tx1"/>
            </w14:solidFill>
          </w14:textFill>
        </w:rPr>
        <w:t>、服务（包含与服务相关的货物）的追加</w:t>
      </w:r>
    </w:p>
    <w:p w14:paraId="0D4A4522">
      <w:pPr>
        <w:pageBreakBefore w:val="0"/>
        <w:widowControl w:val="0"/>
        <w:shd w:val="clear"/>
        <w:kinsoku/>
        <w:wordWrap/>
        <w:overflowPunct/>
        <w:topLinePunct w:val="0"/>
        <w:autoSpaceDE/>
        <w:autoSpaceDN/>
        <w:bidi w:val="0"/>
        <w:adjustRightInd/>
        <w:snapToGrid/>
        <w:spacing w:line="360" w:lineRule="auto"/>
        <w:ind w:firstLine="480"/>
        <w:contextualSpacing/>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.1政府采购合同履行中，采购人需追加与合同标的相同的服务（包含与服务相关的货物），在不改变合同其他条款的前提下，可以与中标人协商签订补充合同，但所有补充合同的采购金额不超过原合同金额10%。</w:t>
      </w:r>
      <w:bookmarkEnd w:id="152"/>
      <w:bookmarkEnd w:id="153"/>
      <w:bookmarkEnd w:id="154"/>
    </w:p>
    <w:p w14:paraId="061D0A72">
      <w:pPr>
        <w:pStyle w:val="645"/>
        <w:pageBreakBefore w:val="0"/>
        <w:widowControl w:val="0"/>
        <w:shd w:val="clear"/>
        <w:kinsoku/>
        <w:wordWrap/>
        <w:overflowPunct/>
        <w:topLinePunct w:val="0"/>
        <w:autoSpaceDE/>
        <w:autoSpaceDN/>
        <w:bidi w:val="0"/>
        <w:adjustRightInd/>
        <w:snapToGrid/>
        <w:spacing w:before="0" w:after="0" w:line="360" w:lineRule="auto"/>
        <w:ind w:firstLine="600"/>
        <w:contextualSpacing/>
        <w:textAlignment w:val="auto"/>
        <w:rPr>
          <w:rFonts w:ascii="宋体" w:hAnsi="宋体" w:cs="宋体"/>
          <w:b w:val="0"/>
          <w:color w:val="000000" w:themeColor="text1"/>
          <w:sz w:val="30"/>
          <w:szCs w:val="30"/>
          <w:highlight w:val="none"/>
          <w14:textFill>
            <w14:solidFill>
              <w14:schemeClr w14:val="tx1"/>
            </w14:solidFill>
          </w14:textFill>
        </w:rPr>
      </w:pPr>
      <w:bookmarkStart w:id="155" w:name="_Toc479757207"/>
      <w:bookmarkStart w:id="156" w:name="_Toc120614221"/>
      <w:bookmarkStart w:id="157" w:name="_Toc20823314"/>
      <w:bookmarkStart w:id="158" w:name="_Toc513029242"/>
      <w:bookmarkStart w:id="159" w:name="_Toc16938558"/>
      <w:r>
        <w:rPr>
          <w:rFonts w:hint="eastAsia" w:ascii="宋体" w:hAnsi="宋体" w:eastAsia="宋体" w:cs="宋体"/>
          <w:b w:val="0"/>
          <w:color w:val="000000" w:themeColor="text1"/>
          <w:sz w:val="30"/>
          <w:szCs w:val="30"/>
          <w:highlight w:val="none"/>
          <w14:textFill>
            <w14:solidFill>
              <w14:schemeClr w14:val="tx1"/>
            </w14:solidFill>
          </w14:textFill>
        </w:rPr>
        <w:t>3</w:t>
      </w:r>
      <w:r>
        <w:rPr>
          <w:rFonts w:hint="eastAsia" w:ascii="宋体" w:hAnsi="宋体" w:eastAsia="宋体" w:cs="宋体"/>
          <w:b w:val="0"/>
          <w:color w:val="000000" w:themeColor="text1"/>
          <w:sz w:val="30"/>
          <w:szCs w:val="30"/>
          <w:highlight w:val="none"/>
          <w:lang w:val="en-US" w:eastAsia="zh-CN"/>
          <w14:textFill>
            <w14:solidFill>
              <w14:schemeClr w14:val="tx1"/>
            </w14:solidFill>
          </w14:textFill>
        </w:rPr>
        <w:t>3</w:t>
      </w:r>
      <w:r>
        <w:rPr>
          <w:rFonts w:hint="eastAsia" w:ascii="宋体" w:hAnsi="宋体" w:eastAsia="宋体" w:cs="宋体"/>
          <w:b w:val="0"/>
          <w:color w:val="000000" w:themeColor="text1"/>
          <w:sz w:val="30"/>
          <w:szCs w:val="30"/>
          <w:highlight w:val="none"/>
          <w14:textFill>
            <w14:solidFill>
              <w14:schemeClr w14:val="tx1"/>
            </w14:solidFill>
          </w14:textFill>
        </w:rPr>
        <w:t>、政府采购履约资金扶持政策</w:t>
      </w:r>
    </w:p>
    <w:p w14:paraId="4A21175E">
      <w:pPr>
        <w:pStyle w:val="643"/>
        <w:pageBreakBefore w:val="0"/>
        <w:widowControl w:val="0"/>
        <w:shd w:val="clear"/>
        <w:kinsoku/>
        <w:wordWrap/>
        <w:overflowPunct/>
        <w:topLinePunct w:val="0"/>
        <w:autoSpaceDE/>
        <w:autoSpaceDN/>
        <w:bidi w:val="0"/>
        <w:adjustRightInd/>
        <w:snapToGrid/>
        <w:spacing w:line="360" w:lineRule="auto"/>
        <w:contextualSpacing/>
        <w:textAlignment w:val="auto"/>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中标人可凭政府采购合同办理融资贷款，详情请见江苏政府采购网“政采贷”专栏。</w:t>
      </w:r>
    </w:p>
    <w:p w14:paraId="7CAB5788">
      <w:pPr>
        <w:shd w:val="clear"/>
        <w:rPr>
          <w:color w:val="000000" w:themeColor="text1"/>
          <w:highlight w:val="none"/>
          <w14:textFill>
            <w14:solidFill>
              <w14:schemeClr w14:val="tx1"/>
            </w14:solidFill>
          </w14:textFill>
        </w:rPr>
      </w:pPr>
    </w:p>
    <w:p w14:paraId="17730BB5">
      <w:pPr>
        <w:pStyle w:val="2"/>
        <w:shd w:val="clear"/>
        <w:jc w:val="center"/>
        <w:rPr>
          <w:rFonts w:ascii="黑体" w:eastAsia="黑体"/>
          <w:color w:val="000000" w:themeColor="text1"/>
          <w:sz w:val="44"/>
          <w:szCs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br w:type="page" w:clear="all"/>
      </w:r>
      <w:bookmarkStart w:id="160" w:name="_Toc18566"/>
      <w:r>
        <w:rPr>
          <w:rFonts w:hint="eastAsia" w:ascii="黑体" w:eastAsia="黑体"/>
          <w:bCs/>
          <w:color w:val="000000" w:themeColor="text1"/>
          <w:sz w:val="44"/>
          <w:highlight w:val="none"/>
          <w14:textFill>
            <w14:solidFill>
              <w14:schemeClr w14:val="tx1"/>
            </w14:solidFill>
          </w14:textFill>
        </w:rPr>
        <w:t>第三章  合同</w:t>
      </w:r>
      <w:bookmarkEnd w:id="155"/>
      <w:bookmarkEnd w:id="156"/>
      <w:bookmarkEnd w:id="157"/>
      <w:bookmarkEnd w:id="158"/>
      <w:bookmarkEnd w:id="159"/>
      <w:r>
        <w:rPr>
          <w:rFonts w:hint="eastAsia" w:ascii="黑体" w:eastAsia="黑体"/>
          <w:bCs/>
          <w:color w:val="000000" w:themeColor="text1"/>
          <w:sz w:val="44"/>
          <w:highlight w:val="none"/>
          <w14:textFill>
            <w14:solidFill>
              <w14:schemeClr w14:val="tx1"/>
            </w14:solidFill>
          </w14:textFill>
        </w:rPr>
        <w:t>文本</w:t>
      </w:r>
      <w:bookmarkEnd w:id="160"/>
    </w:p>
    <w:p w14:paraId="0D410C13">
      <w:pPr>
        <w:keepNext w:val="0"/>
        <w:keepLines w:val="0"/>
        <w:pageBreakBefore w:val="0"/>
        <w:shd w:val="clear"/>
        <w:spacing w:line="360" w:lineRule="auto"/>
        <w:ind w:firstLine="480"/>
        <w:contextualSpacing/>
        <w:jc w:val="left"/>
        <w:rPr>
          <w:rFonts w:ascii="宋体" w:hAnsi="宋体" w:cs="宋体"/>
          <w:bCs/>
          <w:color w:val="000000" w:themeColor="text1"/>
          <w:sz w:val="24"/>
          <w:highlight w:val="none"/>
          <w14:textFill>
            <w14:solidFill>
              <w14:schemeClr w14:val="tx1"/>
            </w14:solidFill>
          </w14:textFill>
        </w:rPr>
      </w:pPr>
      <w:bookmarkStart w:id="161" w:name="_Toc513029243"/>
      <w:bookmarkStart w:id="162" w:name="_Toc16938559"/>
      <w:bookmarkStart w:id="163" w:name="_Toc20823315"/>
      <w:r>
        <w:rPr>
          <w:rFonts w:hint="eastAsia" w:ascii="宋体" w:hAnsi="宋体" w:cs="宋体"/>
          <w:bCs/>
          <w:color w:val="000000" w:themeColor="text1"/>
          <w:sz w:val="24"/>
          <w:highlight w:val="none"/>
          <w14:textFill>
            <w14:solidFill>
              <w14:schemeClr w14:val="tx1"/>
            </w14:solidFill>
          </w14:textFill>
        </w:rPr>
        <w:t>以下为中标后签定本项目合同的通用条款，中标人不得提出实质性的修改。</w:t>
      </w:r>
    </w:p>
    <w:p w14:paraId="301878AF">
      <w:pPr>
        <w:keepNext w:val="0"/>
        <w:keepLines w:val="0"/>
        <w:pageBreakBefore w:val="0"/>
        <w:widowControl w:val="0"/>
        <w:shd w:val="clear"/>
        <w:spacing w:line="360" w:lineRule="auto"/>
        <w:jc w:val="center"/>
        <w:rPr>
          <w:rFonts w:ascii="宋体" w:hAnsi="宋体" w:cs="宋体"/>
          <w:b/>
          <w:bCs/>
          <w:color w:val="000000" w:themeColor="text1"/>
          <w:szCs w:val="20"/>
          <w:highlight w:val="none"/>
          <w14:textFill>
            <w14:solidFill>
              <w14:schemeClr w14:val="tx1"/>
            </w14:solidFill>
          </w14:textFill>
        </w:rPr>
      </w:pPr>
      <w:r>
        <w:rPr>
          <w:rFonts w:hint="eastAsia"/>
          <w:b/>
          <w:bCs/>
          <w:color w:val="000000" w:themeColor="text1"/>
          <w:sz w:val="32"/>
          <w:szCs w:val="36"/>
          <w:highlight w:val="none"/>
          <w14:textFill>
            <w14:solidFill>
              <w14:schemeClr w14:val="tx1"/>
            </w14:solidFill>
          </w14:textFill>
        </w:rPr>
        <w:t>江苏省政府采购合同（服务）</w:t>
      </w:r>
    </w:p>
    <w:p w14:paraId="0B7AA2D9">
      <w:pPr>
        <w:pStyle w:val="647"/>
        <w:keepNext w:val="0"/>
        <w:keepLines w:val="0"/>
        <w:pageBreakBefore w:val="0"/>
        <w:widowControl w:val="0"/>
        <w:shd w:val="clear"/>
        <w:spacing w:line="360" w:lineRule="auto"/>
        <w:contextualSpacing/>
        <w:jc w:val="lef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项目名称：                                       项目编号：</w:t>
      </w:r>
    </w:p>
    <w:p w14:paraId="75628443">
      <w:pPr>
        <w:pStyle w:val="647"/>
        <w:keepNext w:val="0"/>
        <w:keepLines w:val="0"/>
        <w:pageBreakBefore w:val="0"/>
        <w:widowControl w:val="0"/>
        <w:shd w:val="clear"/>
        <w:spacing w:line="360" w:lineRule="auto"/>
        <w:contextualSpacing/>
        <w:jc w:val="lef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甲方：（买方）_________</w:t>
      </w:r>
    </w:p>
    <w:p w14:paraId="7F73BD61">
      <w:pPr>
        <w:pStyle w:val="647"/>
        <w:keepNext w:val="0"/>
        <w:keepLines w:val="0"/>
        <w:pageBreakBefore w:val="0"/>
        <w:widowControl w:val="0"/>
        <w:shd w:val="clear"/>
        <w:spacing w:line="360" w:lineRule="auto"/>
        <w:contextualSpacing/>
        <w:jc w:val="lef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乙方：（卖方）_________</w:t>
      </w:r>
    </w:p>
    <w:p w14:paraId="18894AB6">
      <w:pPr>
        <w:pStyle w:val="647"/>
        <w:keepNext w:val="0"/>
        <w:keepLines w:val="0"/>
        <w:pageBreakBefore w:val="0"/>
        <w:widowControl w:val="0"/>
        <w:shd w:val="clear"/>
        <w:spacing w:line="360" w:lineRule="auto"/>
        <w:contextualSpacing/>
        <w:jc w:val="left"/>
        <w:rPr>
          <w:rFonts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 xml:space="preserve">   </w:t>
      </w:r>
      <w:r>
        <w:rPr>
          <w:rFonts w:hAnsi="宋体" w:cs="宋体"/>
          <w:color w:val="000000" w:themeColor="text1"/>
          <w:sz w:val="24"/>
          <w:szCs w:val="24"/>
          <w:highlight w:val="none"/>
          <w14:textFill>
            <w14:solidFill>
              <w14:schemeClr w14:val="tx1"/>
            </w14:solidFill>
          </w14:textFill>
        </w:rPr>
        <w:t>甲、乙双方根据江苏仁合中惠工程咨询有限公司</w:t>
      </w:r>
      <w:r>
        <w:rPr>
          <w:rFonts w:hint="eastAsia"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14:textFill>
            <w14:solidFill>
              <w14:schemeClr w14:val="tx1"/>
            </w14:solidFill>
          </w14:textFill>
        </w:rPr>
        <w:t>项目公开招标的结果，签署本合同。</w:t>
      </w:r>
    </w:p>
    <w:p w14:paraId="10B7963A">
      <w:pPr>
        <w:pStyle w:val="647"/>
        <w:keepNext w:val="0"/>
        <w:keepLines w:val="0"/>
        <w:pageBreakBefore w:val="0"/>
        <w:shd w:val="clear"/>
        <w:spacing w:line="360" w:lineRule="auto"/>
        <w:ind w:firstLine="482"/>
        <w:contextualSpacing/>
        <w:jc w:val="left"/>
        <w:rPr>
          <w:rFonts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一、</w:t>
      </w:r>
      <w:r>
        <w:rPr>
          <w:rFonts w:hint="eastAsia" w:hAnsi="宋体" w:cs="宋体"/>
          <w:b/>
          <w:color w:val="000000" w:themeColor="text1"/>
          <w:sz w:val="24"/>
          <w:szCs w:val="24"/>
          <w:highlight w:val="none"/>
          <w14:textFill>
            <w14:solidFill>
              <w14:schemeClr w14:val="tx1"/>
            </w14:solidFill>
          </w14:textFill>
        </w:rPr>
        <w:t>合同</w:t>
      </w:r>
      <w:r>
        <w:rPr>
          <w:rFonts w:hAnsi="宋体" w:cs="宋体"/>
          <w:b/>
          <w:color w:val="000000" w:themeColor="text1"/>
          <w:sz w:val="24"/>
          <w:szCs w:val="24"/>
          <w:highlight w:val="none"/>
          <w14:textFill>
            <w14:solidFill>
              <w14:schemeClr w14:val="tx1"/>
            </w14:solidFill>
          </w14:textFill>
        </w:rPr>
        <w:t>内容</w:t>
      </w:r>
    </w:p>
    <w:p w14:paraId="73EAE9E5">
      <w:pPr>
        <w:pStyle w:val="647"/>
        <w:keepNext w:val="0"/>
        <w:keepLines w:val="0"/>
        <w:pageBreakBefore w:val="0"/>
        <w:shd w:val="clear"/>
        <w:spacing w:line="360" w:lineRule="auto"/>
        <w:contextualSpacing/>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  </w:t>
      </w:r>
      <w:r>
        <w:rPr>
          <w:rFonts w:hAnsi="宋体" w:cs="宋体"/>
          <w:color w:val="000000" w:themeColor="text1"/>
          <w:spacing w:val="0"/>
          <w:sz w:val="24"/>
          <w:szCs w:val="24"/>
          <w:highlight w:val="none"/>
          <w14:textFill>
            <w14:solidFill>
              <w14:schemeClr w14:val="tx1"/>
            </w14:solidFill>
          </w14:textFill>
        </w:rPr>
        <w:t xml:space="preserve">  1.1 </w:t>
      </w:r>
      <w:r>
        <w:rPr>
          <w:rFonts w:hint="eastAsia" w:hAnsi="宋体" w:cs="宋体"/>
          <w:color w:val="000000" w:themeColor="text1"/>
          <w:spacing w:val="0"/>
          <w:sz w:val="24"/>
          <w:szCs w:val="24"/>
          <w:highlight w:val="none"/>
          <w14:textFill>
            <w14:solidFill>
              <w14:schemeClr w14:val="tx1"/>
            </w14:solidFill>
          </w14:textFill>
        </w:rPr>
        <w:t>标的</w:t>
      </w:r>
      <w:r>
        <w:rPr>
          <w:rFonts w:hint="eastAsia" w:ascii="宋体" w:hAnsi="宋体" w:eastAsia="宋体" w:cs="宋体"/>
          <w:color w:val="000000" w:themeColor="text1"/>
          <w:spacing w:val="0"/>
          <w:sz w:val="24"/>
          <w:szCs w:val="24"/>
          <w:highlight w:val="none"/>
          <w14:textFill>
            <w14:solidFill>
              <w14:schemeClr w14:val="tx1"/>
            </w14:solidFill>
          </w14:textFill>
        </w:rPr>
        <w:t>名称：</w:t>
      </w:r>
      <w:r>
        <w:rPr>
          <w:rFonts w:hint="eastAsia" w:hAnsi="宋体" w:cs="宋体"/>
          <w:color w:val="000000" w:themeColor="text1"/>
          <w:spacing w:val="0"/>
          <w:sz w:val="24"/>
          <w:szCs w:val="24"/>
          <w:highlight w:val="none"/>
          <w:lang w:eastAsia="zh-CN"/>
          <w14:textFill>
            <w14:solidFill>
              <w14:schemeClr w14:val="tx1"/>
            </w14:solidFill>
          </w14:textFill>
        </w:rPr>
        <w:t>张家港市常阴沙现代农业示范园区2026-2027年度常阴沙镇级绿化养护服务</w:t>
      </w:r>
    </w:p>
    <w:p w14:paraId="529FFDEA">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contextualSpacing/>
        <w:jc w:val="left"/>
        <w:rPr>
          <w:rFonts w:hint="eastAsia" w:ascii="宋体" w:hAnsi="宋体" w:cs="宋体"/>
          <w:i w:val="0"/>
          <w:iCs w:val="0"/>
          <w:color w:val="000000" w:themeColor="text1"/>
          <w:spacing w:val="0"/>
          <w:sz w:val="24"/>
          <w:highlight w:val="none"/>
          <w:u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    1.2 履行时间（期限）：</w:t>
      </w:r>
      <w:r>
        <w:rPr>
          <w:rFonts w:hint="eastAsia" w:ascii="宋体" w:hAnsi="宋体" w:cs="宋体"/>
          <w:color w:val="000000" w:themeColor="text1"/>
          <w:spacing w:val="0"/>
          <w:sz w:val="24"/>
          <w:highlight w:val="none"/>
          <w:lang w:val="en-US" w:eastAsia="zh-CN"/>
          <w14:textFill>
            <w14:solidFill>
              <w14:schemeClr w14:val="tx1"/>
            </w14:solidFill>
          </w14:textFill>
        </w:rPr>
        <w:t>24个月</w:t>
      </w:r>
      <w:r>
        <w:rPr>
          <w:rFonts w:hint="eastAsia" w:ascii="宋体" w:hAnsi="宋体" w:cs="宋体"/>
          <w:i w:val="0"/>
          <w:iCs w:val="0"/>
          <w:color w:val="000000" w:themeColor="text1"/>
          <w:spacing w:val="0"/>
          <w:sz w:val="24"/>
          <w:highlight w:val="none"/>
          <w:u w:val="none"/>
          <w14:textFill>
            <w14:solidFill>
              <w14:schemeClr w14:val="tx1"/>
            </w14:solidFill>
          </w14:textFill>
        </w:rPr>
        <w:t>。</w:t>
      </w:r>
    </w:p>
    <w:p w14:paraId="3CA12BA4">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w:t>
      </w:r>
      <w:r>
        <w:rPr>
          <w:rFonts w:hint="eastAsia" w:ascii="宋体" w:hAnsi="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履行地点：张家港市</w:t>
      </w:r>
    </w:p>
    <w:p w14:paraId="6BC6B05E">
      <w:pPr>
        <w:pStyle w:val="647"/>
        <w:keepNext w:val="0"/>
        <w:keepLines w:val="0"/>
        <w:pageBreakBefore w:val="0"/>
        <w:shd w:val="clear"/>
        <w:spacing w:line="360" w:lineRule="auto"/>
        <w:ind w:firstLine="482"/>
        <w:contextualSpacing/>
        <w:jc w:val="left"/>
        <w:rPr>
          <w:rFonts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二、合同金额</w:t>
      </w:r>
    </w:p>
    <w:p w14:paraId="1EEEBAB4">
      <w:pPr>
        <w:pStyle w:val="647"/>
        <w:keepNext w:val="0"/>
        <w:keepLines w:val="0"/>
        <w:pageBreakBefore w:val="0"/>
        <w:shd w:val="clear"/>
        <w:spacing w:line="360" w:lineRule="auto"/>
        <w:ind w:left="10" w:hanging="10"/>
        <w:contextualSpacing/>
        <w:jc w:val="lef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    2.1 本合同金额为（大写）：</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Ansi="宋体" w:cs="宋体"/>
          <w:color w:val="000000" w:themeColor="text1"/>
          <w:sz w:val="24"/>
          <w:szCs w:val="24"/>
          <w:highlight w:val="none"/>
          <w14:textFill>
            <w14:solidFill>
              <w14:schemeClr w14:val="tx1"/>
            </w14:solidFill>
          </w14:textFill>
        </w:rPr>
        <w:t>元）人民币。</w:t>
      </w:r>
    </w:p>
    <w:p w14:paraId="543E5055">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firstLineChars="200"/>
        <w:contextualSpacing/>
        <w:jc w:val="left"/>
        <w:rPr>
          <w:rFonts w:hint="eastAsia" w:hAnsi="宋体" w:cs="宋体"/>
          <w:i w:val="0"/>
          <w:iCs/>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注：</w:t>
      </w:r>
      <w:r>
        <w:rPr>
          <w:rFonts w:hint="eastAsia" w:ascii="宋体" w:hAnsi="宋体" w:cs="宋体"/>
          <w:color w:val="000000" w:themeColor="text1"/>
          <w:sz w:val="24"/>
          <w:highlight w:val="none"/>
          <w:lang w:eastAsia="zh-CN"/>
          <w14:textFill>
            <w14:solidFill>
              <w14:schemeClr w14:val="tx1"/>
            </w14:solidFill>
          </w14:textFill>
        </w:rPr>
        <w:t>总价为综合报价。报价均含苗木补缺费用；重要地段草坪追播黑麦草费用，裸露地被、片林下空地籽播花卉、草籽等费用；绿地内正常的苗木搬迁、调整、归并移植费用；部分路段隔离带护栏、养护标识牌、植物铭牌等的维护费用：养护人员购买意外险等保险的费用、养护责任铭牌的费用；所有车辆、机械的购买或登高车租赁费用；各类灾害天气应急抢险涉及的所有费用；其他绿化养护涉及到的相关费用。</w:t>
      </w:r>
    </w:p>
    <w:p w14:paraId="027F18CB">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2"/>
        <w:contextualSpacing/>
        <w:jc w:val="left"/>
        <w:rPr>
          <w:rFonts w:ascii="宋体" w:hAnsi="宋体" w:cs="宋体"/>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三、履约保证金</w:t>
      </w:r>
    </w:p>
    <w:p w14:paraId="3DD57E98">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3.1合同签订前，乙方向采购单位交纳人民币</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元作为本合同的履约保证金。履约保证金应当以支票、汇票、本票或者金融机构、担保机构出具的保函等非现金形式提交。</w:t>
      </w:r>
    </w:p>
    <w:p w14:paraId="0A1F4448">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3.2 </w:t>
      </w:r>
      <w:r>
        <w:rPr>
          <w:rFonts w:ascii="宋体" w:hAnsi="宋体" w:cs="宋体"/>
          <w:color w:val="000000"/>
          <w:sz w:val="24"/>
          <w:highlight w:val="none"/>
        </w:rPr>
        <w:t>在本合同期满后，甲方在一个月内返还乙方所支付的履约保证金。</w:t>
      </w:r>
      <w:r>
        <w:rPr>
          <w:rFonts w:ascii="宋体" w:hAnsi="宋体" w:cs="宋体"/>
          <w:color w:val="000000" w:themeColor="text1"/>
          <w:sz w:val="24"/>
          <w:highlight w:val="none"/>
          <w14:textFill>
            <w14:solidFill>
              <w14:schemeClr w14:val="tx1"/>
            </w14:solidFill>
          </w14:textFill>
        </w:rPr>
        <w:t>逾期退还的，应当支付逾期利息，且逾期利息的利率不得低于合同订立时1年期贷款市场报价利率。</w:t>
      </w:r>
    </w:p>
    <w:p w14:paraId="26A42743">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3.3 乙方不履行与甲方订立的合同的，履约保证金不予退还。</w:t>
      </w:r>
    </w:p>
    <w:p w14:paraId="09D528D9">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sz w:val="24"/>
          <w:szCs w:val="24"/>
        </w:rPr>
      </w:pPr>
      <w:r>
        <w:rPr>
          <w:rFonts w:hint="eastAsia" w:ascii="宋体" w:hAnsi="宋体" w:eastAsia="宋体" w:cs="宋体"/>
          <w:b/>
          <w:bCs/>
          <w:color w:val="000000"/>
          <w:kern w:val="0"/>
          <w:sz w:val="24"/>
          <w:szCs w:val="24"/>
          <w:lang w:val="en-US" w:eastAsia="zh-CN" w:bidi="ar"/>
        </w:rPr>
        <w:t xml:space="preserve">四、转包或分包 </w:t>
      </w:r>
    </w:p>
    <w:p w14:paraId="5E9580F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4.1 本合同范围的服务，应由乙方直接提供，不得转让他人提供； </w:t>
      </w:r>
    </w:p>
    <w:p w14:paraId="3D0B6A2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kern w:val="0"/>
          <w:sz w:val="24"/>
          <w:szCs w:val="24"/>
          <w:lang w:val="en-US" w:eastAsia="zh-CN" w:bidi="ar"/>
        </w:rPr>
        <w:t>4.2 如有转包和分包行为，甲方有权给予终止合同。</w:t>
      </w:r>
    </w:p>
    <w:p w14:paraId="2F675353">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72"/>
        <w:contextualSpacing/>
        <w:jc w:val="lef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五</w:t>
      </w:r>
      <w:r>
        <w:rPr>
          <w:rFonts w:ascii="宋体" w:hAnsi="宋体" w:cs="宋体"/>
          <w:b/>
          <w:color w:val="000000" w:themeColor="text1"/>
          <w:sz w:val="24"/>
          <w:highlight w:val="none"/>
          <w14:textFill>
            <w14:solidFill>
              <w14:schemeClr w14:val="tx1"/>
            </w14:solidFill>
          </w14:textFill>
        </w:rPr>
        <w:t>、服务期限：</w:t>
      </w:r>
    </w:p>
    <w:p w14:paraId="413ABF31">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70"/>
        <w:contextualSpacing/>
        <w:jc w:val="left"/>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服务期限</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24个月，</w:t>
      </w:r>
      <w:r>
        <w:rPr>
          <w:rFonts w:hint="eastAsia" w:ascii="宋体" w:hAnsi="宋体" w:cs="宋体"/>
          <w:color w:val="000000" w:themeColor="text1"/>
          <w:spacing w:val="0"/>
          <w:sz w:val="24"/>
          <w:highlight w:val="none"/>
          <w:lang w:val="en-US" w:eastAsia="zh-CN"/>
          <w14:textFill>
            <w14:solidFill>
              <w14:schemeClr w14:val="tx1"/>
            </w14:solidFill>
          </w14:textFill>
        </w:rPr>
        <w:t>自</w:t>
      </w:r>
      <w:r>
        <w:rPr>
          <w:rFonts w:hint="eastAsia" w:ascii="宋体" w:hAnsi="宋体" w:cs="宋体"/>
          <w:color w:val="000000" w:themeColor="text1"/>
          <w:spacing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u w:val="none"/>
          <w:lang w:val="en-US" w:eastAsia="zh-CN"/>
          <w14:textFill>
            <w14:solidFill>
              <w14:schemeClr w14:val="tx1"/>
            </w14:solidFill>
          </w14:textFill>
        </w:rPr>
        <w:t>年</w:t>
      </w:r>
      <w:r>
        <w:rPr>
          <w:rFonts w:hint="eastAsia" w:ascii="宋体" w:hAnsi="宋体" w:cs="宋体"/>
          <w:color w:val="000000" w:themeColor="text1"/>
          <w:spacing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u w:val="none"/>
          <w:lang w:val="en-US" w:eastAsia="zh-CN"/>
          <w14:textFill>
            <w14:solidFill>
              <w14:schemeClr w14:val="tx1"/>
            </w14:solidFill>
          </w14:textFill>
        </w:rPr>
        <w:t>月</w:t>
      </w:r>
      <w:r>
        <w:rPr>
          <w:rFonts w:hint="eastAsia" w:ascii="宋体" w:hAnsi="宋体" w:cs="宋体"/>
          <w:color w:val="000000" w:themeColor="text1"/>
          <w:spacing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u w:val="none"/>
          <w:lang w:val="en-US" w:eastAsia="zh-CN"/>
          <w14:textFill>
            <w14:solidFill>
              <w14:schemeClr w14:val="tx1"/>
            </w14:solidFill>
          </w14:textFill>
        </w:rPr>
        <w:t>日至</w:t>
      </w:r>
      <w:r>
        <w:rPr>
          <w:rFonts w:hint="eastAsia" w:ascii="宋体" w:hAnsi="宋体" w:cs="宋体"/>
          <w:color w:val="000000" w:themeColor="text1"/>
          <w:spacing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u w:val="none"/>
          <w:lang w:val="en-US" w:eastAsia="zh-CN"/>
          <w14:textFill>
            <w14:solidFill>
              <w14:schemeClr w14:val="tx1"/>
            </w14:solidFill>
          </w14:textFill>
        </w:rPr>
        <w:t>年</w:t>
      </w:r>
      <w:r>
        <w:rPr>
          <w:rFonts w:hint="eastAsia" w:ascii="宋体" w:hAnsi="宋体" w:cs="宋体"/>
          <w:color w:val="000000" w:themeColor="text1"/>
          <w:spacing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u w:val="none"/>
          <w:lang w:val="en-US" w:eastAsia="zh-CN"/>
          <w14:textFill>
            <w14:solidFill>
              <w14:schemeClr w14:val="tx1"/>
            </w14:solidFill>
          </w14:textFill>
        </w:rPr>
        <w:t>月</w:t>
      </w:r>
      <w:r>
        <w:rPr>
          <w:rFonts w:hint="eastAsia" w:ascii="宋体" w:hAnsi="宋体" w:cs="宋体"/>
          <w:color w:val="000000" w:themeColor="text1"/>
          <w:spacing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u w:val="none"/>
          <w:lang w:val="en-US" w:eastAsia="zh-CN"/>
          <w14:textFill>
            <w14:solidFill>
              <w14:schemeClr w14:val="tx1"/>
            </w14:solidFill>
          </w14:textFill>
        </w:rPr>
        <w:t>日止</w:t>
      </w:r>
      <w:r>
        <w:rPr>
          <w:rFonts w:hint="eastAsia" w:ascii="宋体" w:hAnsi="宋体" w:cs="宋体"/>
          <w:color w:val="000000" w:themeColor="text1"/>
          <w:spacing w:val="0"/>
          <w:sz w:val="24"/>
          <w:highlight w:val="none"/>
          <w:lang w:eastAsia="zh-CN"/>
          <w14:textFill>
            <w14:solidFill>
              <w14:schemeClr w14:val="tx1"/>
            </w14:solidFill>
          </w14:textFill>
        </w:rPr>
        <w:t>。</w:t>
      </w:r>
    </w:p>
    <w:p w14:paraId="3C7427F8">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72"/>
        <w:contextualSpacing/>
        <w:jc w:val="lef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六</w:t>
      </w:r>
      <w:r>
        <w:rPr>
          <w:rFonts w:ascii="宋体" w:hAnsi="宋体" w:cs="宋体"/>
          <w:b/>
          <w:color w:val="000000" w:themeColor="text1"/>
          <w:sz w:val="24"/>
          <w:highlight w:val="none"/>
          <w14:textFill>
            <w14:solidFill>
              <w14:schemeClr w14:val="tx1"/>
            </w14:solidFill>
          </w14:textFill>
        </w:rPr>
        <w:t>、货款支付</w:t>
      </w:r>
    </w:p>
    <w:p w14:paraId="21C11005">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ascii="宋体" w:hAnsi="宋体" w:cs="宋体"/>
          <w:color w:val="000000" w:themeColor="text1"/>
          <w:sz w:val="24"/>
          <w:highlight w:val="none"/>
          <w14:textFill>
            <w14:solidFill>
              <w14:schemeClr w14:val="tx1"/>
            </w14:solidFill>
          </w14:textFill>
        </w:rPr>
        <w:t>.1 结付程序：</w:t>
      </w:r>
      <w:r>
        <w:rPr>
          <w:rFonts w:ascii="宋体" w:hAnsi="宋体" w:eastAsia="Times New Roman" w:cs="宋体"/>
          <w:color w:val="000000" w:themeColor="text1"/>
          <w:sz w:val="24"/>
          <w:highlight w:val="none"/>
          <w:u w:val="single"/>
          <w14:textFill>
            <w14:solidFill>
              <w14:schemeClr w14:val="tx1"/>
            </w14:solidFill>
          </w14:textFill>
        </w:rPr>
        <w:t>               </w:t>
      </w:r>
      <w:r>
        <w:rPr>
          <w:rFonts w:ascii="宋体" w:hAnsi="宋体" w:cs="宋体"/>
          <w:color w:val="000000" w:themeColor="text1"/>
          <w:sz w:val="24"/>
          <w:highlight w:val="none"/>
          <w:u w:val="single"/>
          <w14:textFill>
            <w14:solidFill>
              <w14:schemeClr w14:val="tx1"/>
            </w14:solidFill>
          </w14:textFill>
        </w:rPr>
        <w:t>    </w:t>
      </w:r>
    </w:p>
    <w:p w14:paraId="3DB185B2">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ascii="宋体" w:hAnsi="宋体" w:cs="宋体"/>
          <w:color w:val="000000" w:themeColor="text1"/>
          <w:sz w:val="24"/>
          <w:highlight w:val="none"/>
          <w14:textFill>
            <w14:solidFill>
              <w14:schemeClr w14:val="tx1"/>
            </w14:solidFill>
          </w14:textFill>
        </w:rPr>
        <w:t>.2 结付期限：</w:t>
      </w:r>
      <w:r>
        <w:rPr>
          <w:rFonts w:ascii="宋体" w:hAnsi="宋体" w:eastAsia="Times New Roman"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w:t>
      </w:r>
      <w:r>
        <w:rPr>
          <w:rFonts w:ascii="宋体" w:hAnsi="宋体" w:eastAsia="Times New Roman" w:cs="宋体"/>
          <w:color w:val="000000" w:themeColor="text1"/>
          <w:sz w:val="24"/>
          <w:highlight w:val="none"/>
          <w14:textFill>
            <w14:solidFill>
              <w14:schemeClr w14:val="tx1"/>
            </w14:solidFill>
          </w14:textFill>
        </w:rPr>
        <w:t>        </w:t>
      </w:r>
    </w:p>
    <w:p w14:paraId="13065D77">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70"/>
        <w:contextualSpacing/>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6</w:t>
      </w:r>
      <w:r>
        <w:rPr>
          <w:rFonts w:ascii="宋体" w:hAnsi="宋体" w:cs="宋体"/>
          <w:color w:val="000000" w:themeColor="text1"/>
          <w:sz w:val="24"/>
          <w:highlight w:val="none"/>
          <w14:textFill>
            <w14:solidFill>
              <w14:schemeClr w14:val="tx1"/>
            </w14:solidFill>
          </w14:textFill>
        </w:rPr>
        <w:t>.3乙方收款账户：</w:t>
      </w:r>
      <w:r>
        <w:rPr>
          <w:rFonts w:ascii="宋体" w:hAnsi="宋体" w:eastAsia="Times New Roman"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eastAsia="Times New Roman" w:cs="宋体"/>
          <w:color w:val="000000" w:themeColor="text1"/>
          <w:sz w:val="24"/>
          <w:highlight w:val="none"/>
          <w:u w:val="single"/>
          <w14:textFill>
            <w14:solidFill>
              <w14:schemeClr w14:val="tx1"/>
            </w14:solidFill>
          </w14:textFill>
        </w:rPr>
        <w:t>  </w:t>
      </w:r>
    </w:p>
    <w:p w14:paraId="3789B3A3">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6</w:t>
      </w:r>
      <w:r>
        <w:rPr>
          <w:rFonts w:ascii="宋体" w:hAnsi="宋体" w:cs="宋体"/>
          <w:color w:val="000000" w:themeColor="text1"/>
          <w:sz w:val="24"/>
          <w:highlight w:val="none"/>
          <w14:textFill>
            <w14:solidFill>
              <w14:schemeClr w14:val="tx1"/>
            </w14:solidFill>
          </w14:textFill>
        </w:rPr>
        <w:t>.4甲方合同款支付方式：</w:t>
      </w:r>
      <w:r>
        <w:rPr>
          <w:rFonts w:ascii="宋体" w:hAnsi="宋体" w:eastAsia="Times New Roman" w:cs="宋体"/>
          <w:color w:val="000000" w:themeColor="text1"/>
          <w:sz w:val="24"/>
          <w:highlight w:val="none"/>
          <w:u w:val="single"/>
          <w14:textFill>
            <w14:solidFill>
              <w14:schemeClr w14:val="tx1"/>
            </w14:solidFill>
          </w14:textFill>
        </w:rPr>
        <w:t>              </w:t>
      </w:r>
      <w:r>
        <w:rPr>
          <w:rFonts w:ascii="宋体" w:hAnsi="宋体" w:cs="宋体"/>
          <w:color w:val="000000" w:themeColor="text1"/>
          <w:sz w:val="24"/>
          <w:highlight w:val="none"/>
          <w14:textFill>
            <w14:solidFill>
              <w14:schemeClr w14:val="tx1"/>
            </w14:solidFill>
          </w14:textFill>
        </w:rPr>
        <w:t>（若乙方为中小企业，不得强制其接受非现金支付方式）</w:t>
      </w:r>
    </w:p>
    <w:p w14:paraId="44549049">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2"/>
        <w:contextualSpacing/>
        <w:jc w:val="lef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七</w:t>
      </w:r>
      <w:r>
        <w:rPr>
          <w:rFonts w:ascii="宋体" w:hAnsi="宋体" w:cs="宋体"/>
          <w:b/>
          <w:color w:val="000000" w:themeColor="text1"/>
          <w:sz w:val="24"/>
          <w:highlight w:val="none"/>
          <w14:textFill>
            <w14:solidFill>
              <w14:schemeClr w14:val="tx1"/>
            </w14:solidFill>
          </w14:textFill>
        </w:rPr>
        <w:t>、税</w:t>
      </w:r>
    </w:p>
    <w:p w14:paraId="3D8B9343">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本合同执行中相关的一切税费均由乙方负担。</w:t>
      </w:r>
    </w:p>
    <w:p w14:paraId="5026DC2D">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2"/>
        <w:contextualSpacing/>
        <w:jc w:val="lef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八</w:t>
      </w:r>
      <w:r>
        <w:rPr>
          <w:rFonts w:ascii="宋体" w:hAnsi="宋体" w:cs="宋体"/>
          <w:b/>
          <w:color w:val="000000" w:themeColor="text1"/>
          <w:sz w:val="24"/>
          <w:highlight w:val="none"/>
          <w14:textFill>
            <w14:solidFill>
              <w14:schemeClr w14:val="tx1"/>
            </w14:solidFill>
          </w14:textFill>
        </w:rPr>
        <w:t>、管理事项</w:t>
      </w:r>
    </w:p>
    <w:p w14:paraId="0EB7B69A">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按招标内容要求以及响应单位的承诺项目阐述。</w:t>
      </w:r>
    </w:p>
    <w:p w14:paraId="43010245">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2"/>
        <w:contextualSpacing/>
        <w:jc w:val="lef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九</w:t>
      </w:r>
      <w:r>
        <w:rPr>
          <w:rFonts w:ascii="宋体" w:hAnsi="宋体" w:cs="宋体"/>
          <w:b/>
          <w:color w:val="000000" w:themeColor="text1"/>
          <w:sz w:val="24"/>
          <w:highlight w:val="none"/>
          <w14:textFill>
            <w14:solidFill>
              <w14:schemeClr w14:val="tx1"/>
            </w14:solidFill>
          </w14:textFill>
        </w:rPr>
        <w:t>、双方权利义务</w:t>
      </w:r>
    </w:p>
    <w:p w14:paraId="46AB24E3">
      <w:pPr>
        <w:pStyle w:val="552"/>
        <w:keepNext w:val="0"/>
        <w:keepLines w:val="0"/>
        <w:pageBreakBefore w:val="0"/>
        <w:shd w:val="clear"/>
        <w:spacing w:line="360" w:lineRule="auto"/>
        <w:ind w:firstLine="480"/>
        <w:rPr>
          <w:rStyle w:val="38"/>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9</w:t>
      </w:r>
      <w:r>
        <w:rPr>
          <w:rFonts w:hint="eastAsia" w:ascii="宋体" w:hAnsi="宋体" w:cs="宋体"/>
          <w:color w:val="000000" w:themeColor="text1"/>
          <w:sz w:val="24"/>
          <w:szCs w:val="24"/>
          <w:highlight w:val="none"/>
          <w:lang w:bidi="ar"/>
          <w14:textFill>
            <w14:solidFill>
              <w14:schemeClr w14:val="tx1"/>
            </w14:solidFill>
          </w14:textFill>
        </w:rPr>
        <w:t xml:space="preserve">.1 </w:t>
      </w:r>
      <w:r>
        <w:rPr>
          <w:rStyle w:val="38"/>
          <w:rFonts w:hint="eastAsia" w:ascii="宋体" w:hAnsi="宋体" w:cs="宋体"/>
          <w:color w:val="000000" w:themeColor="text1"/>
          <w:sz w:val="24"/>
          <w:highlight w:val="none"/>
          <w14:textFill>
            <w14:solidFill>
              <w14:schemeClr w14:val="tx1"/>
            </w14:solidFill>
          </w14:textFill>
        </w:rPr>
        <w:t>甲方的权利和义务</w:t>
      </w:r>
    </w:p>
    <w:p w14:paraId="6F403D42">
      <w:pPr>
        <w:pStyle w:val="552"/>
        <w:keepNext w:val="0"/>
        <w:keepLines w:val="0"/>
        <w:pageBreakBefore w:val="0"/>
        <w:shd w:val="clear"/>
        <w:spacing w:line="360" w:lineRule="auto"/>
        <w:ind w:firstLine="480"/>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t>(1)甲方制定的委托乙方承担的绿地养护服务内容</w:t>
      </w:r>
      <w:r>
        <w:rPr>
          <w:rStyle w:val="38"/>
          <w:rFonts w:hint="eastAsia" w:ascii="宋体" w:hAnsi="宋体" w:cs="宋体"/>
          <w:color w:val="000000" w:themeColor="text1"/>
          <w:sz w:val="24"/>
          <w:szCs w:val="24"/>
          <w:highlight w:val="none"/>
          <w:lang w:val="en-US" w:eastAsia="zh-CN"/>
          <w14:textFill>
            <w14:solidFill>
              <w14:schemeClr w14:val="tx1"/>
            </w14:solidFill>
          </w14:textFill>
        </w:rPr>
        <w:t>；</w:t>
      </w:r>
    </w:p>
    <w:p w14:paraId="37D014EA">
      <w:pPr>
        <w:pStyle w:val="552"/>
        <w:keepNext w:val="0"/>
        <w:keepLines w:val="0"/>
        <w:pageBreakBefore w:val="0"/>
        <w:shd w:val="clear"/>
        <w:spacing w:line="360" w:lineRule="auto"/>
        <w:ind w:firstLine="480"/>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t>(2)检查监督乙方管理工作的实施及制度的执行情况，并定期考核</w:t>
      </w:r>
      <w:r>
        <w:rPr>
          <w:rStyle w:val="38"/>
          <w:rFonts w:hint="eastAsia" w:ascii="宋体" w:hAnsi="宋体" w:cs="宋体"/>
          <w:color w:val="000000" w:themeColor="text1"/>
          <w:sz w:val="24"/>
          <w:szCs w:val="24"/>
          <w:highlight w:val="none"/>
          <w:lang w:val="en-US" w:eastAsia="zh-CN"/>
          <w14:textFill>
            <w14:solidFill>
              <w14:schemeClr w14:val="tx1"/>
            </w14:solidFill>
          </w14:textFill>
        </w:rPr>
        <w:t>；</w:t>
      </w:r>
    </w:p>
    <w:p w14:paraId="1A3BAA70">
      <w:pPr>
        <w:pStyle w:val="552"/>
        <w:keepNext w:val="0"/>
        <w:keepLines w:val="0"/>
        <w:pageBreakBefore w:val="0"/>
        <w:shd w:val="clear"/>
        <w:spacing w:line="360" w:lineRule="auto"/>
        <w:ind w:firstLine="480"/>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t>(3)审定乙方提出的绿地养护服务计划</w:t>
      </w:r>
      <w:r>
        <w:rPr>
          <w:rStyle w:val="38"/>
          <w:rFonts w:hint="eastAsia" w:ascii="宋体" w:hAnsi="宋体" w:cs="宋体"/>
          <w:color w:val="000000" w:themeColor="text1"/>
          <w:sz w:val="24"/>
          <w:szCs w:val="24"/>
          <w:highlight w:val="none"/>
          <w:lang w:val="en-US" w:eastAsia="zh-CN"/>
          <w14:textFill>
            <w14:solidFill>
              <w14:schemeClr w14:val="tx1"/>
            </w14:solidFill>
          </w14:textFill>
        </w:rPr>
        <w:t>；</w:t>
      </w:r>
    </w:p>
    <w:p w14:paraId="39D0E10B">
      <w:pPr>
        <w:pStyle w:val="552"/>
        <w:keepNext w:val="0"/>
        <w:keepLines w:val="0"/>
        <w:pageBreakBefore w:val="0"/>
        <w:shd w:val="clear"/>
        <w:spacing w:line="360" w:lineRule="auto"/>
        <w:ind w:firstLine="480"/>
        <w:rPr>
          <w:rStyle w:val="38"/>
          <w:rFonts w:ascii="宋体" w:hAnsi="宋体" w:cs="宋体"/>
          <w:color w:val="000000" w:themeColor="text1"/>
          <w:sz w:val="24"/>
          <w:highlight w:val="none"/>
          <w14:textFill>
            <w14:solidFill>
              <w14:schemeClr w14:val="tx1"/>
            </w14:solidFill>
          </w14:textFill>
        </w:rPr>
      </w:pPr>
      <w:r>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t>(4)协助乙方做好绿地养护工作的宣传教育。</w:t>
      </w:r>
    </w:p>
    <w:p w14:paraId="5AFEAD57">
      <w:pPr>
        <w:pStyle w:val="552"/>
        <w:keepNext w:val="0"/>
        <w:keepLines w:val="0"/>
        <w:pageBreakBefore w:val="0"/>
        <w:shd w:val="clear"/>
        <w:spacing w:line="360" w:lineRule="auto"/>
        <w:ind w:firstLine="480"/>
        <w:rPr>
          <w:rStyle w:val="38"/>
          <w:rFonts w:ascii="宋体" w:hAnsi="宋体" w:cs="宋体"/>
          <w:color w:val="000000" w:themeColor="text1"/>
          <w:sz w:val="24"/>
          <w:highlight w:val="none"/>
          <w14:textFill>
            <w14:solidFill>
              <w14:schemeClr w14:val="tx1"/>
            </w14:solidFill>
          </w14:textFill>
        </w:rPr>
      </w:pPr>
      <w:r>
        <w:rPr>
          <w:rStyle w:val="38"/>
          <w:rFonts w:hint="eastAsia" w:ascii="宋体" w:hAnsi="宋体" w:cs="宋体"/>
          <w:color w:val="000000" w:themeColor="text1"/>
          <w:sz w:val="24"/>
          <w:highlight w:val="none"/>
          <w:lang w:val="en-US" w:eastAsia="zh-CN"/>
          <w14:textFill>
            <w14:solidFill>
              <w14:schemeClr w14:val="tx1"/>
            </w14:solidFill>
          </w14:textFill>
        </w:rPr>
        <w:t>9</w:t>
      </w:r>
      <w:r>
        <w:rPr>
          <w:rStyle w:val="38"/>
          <w:rFonts w:hint="eastAsia" w:ascii="宋体" w:hAnsi="宋体" w:cs="宋体"/>
          <w:color w:val="000000" w:themeColor="text1"/>
          <w:sz w:val="24"/>
          <w:highlight w:val="none"/>
          <w14:textFill>
            <w14:solidFill>
              <w14:schemeClr w14:val="tx1"/>
            </w14:solidFill>
          </w14:textFill>
        </w:rPr>
        <w:t>.2 乙方的权利和义务</w:t>
      </w:r>
    </w:p>
    <w:p w14:paraId="40F8E82E">
      <w:pPr>
        <w:pStyle w:val="552"/>
        <w:keepNext w:val="0"/>
        <w:keepLines w:val="0"/>
        <w:pageBreakBefore w:val="0"/>
        <w:shd w:val="clear"/>
        <w:spacing w:line="360" w:lineRule="auto"/>
        <w:ind w:firstLine="480"/>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t>(1)根据有关法律、法规及本合同的约定，制订绿地养护制度</w:t>
      </w:r>
      <w:r>
        <w:rPr>
          <w:rStyle w:val="38"/>
          <w:rFonts w:hint="eastAsia" w:ascii="宋体" w:hAnsi="宋体" w:cs="宋体"/>
          <w:color w:val="000000" w:themeColor="text1"/>
          <w:sz w:val="24"/>
          <w:szCs w:val="24"/>
          <w:highlight w:val="none"/>
          <w:lang w:val="en-US" w:eastAsia="zh-CN"/>
          <w14:textFill>
            <w14:solidFill>
              <w14:schemeClr w14:val="tx1"/>
            </w14:solidFill>
          </w14:textFill>
        </w:rPr>
        <w:t>；</w:t>
      </w:r>
    </w:p>
    <w:p w14:paraId="7D9DDA18">
      <w:pPr>
        <w:pStyle w:val="552"/>
        <w:keepNext w:val="0"/>
        <w:keepLines w:val="0"/>
        <w:pageBreakBefore w:val="0"/>
        <w:shd w:val="clear"/>
        <w:spacing w:line="360" w:lineRule="auto"/>
        <w:ind w:firstLine="480"/>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t>(2)按合同约定，履行绿地养护服务职责</w:t>
      </w:r>
      <w:r>
        <w:rPr>
          <w:rStyle w:val="38"/>
          <w:rFonts w:hint="eastAsia" w:ascii="宋体" w:hAnsi="宋体" w:cs="宋体"/>
          <w:color w:val="000000" w:themeColor="text1"/>
          <w:sz w:val="24"/>
          <w:szCs w:val="24"/>
          <w:highlight w:val="none"/>
          <w:lang w:val="en-US" w:eastAsia="zh-CN"/>
          <w14:textFill>
            <w14:solidFill>
              <w14:schemeClr w14:val="tx1"/>
            </w14:solidFill>
          </w14:textFill>
        </w:rPr>
        <w:t>；</w:t>
      </w:r>
    </w:p>
    <w:p w14:paraId="7FE4E929">
      <w:pPr>
        <w:pStyle w:val="552"/>
        <w:keepNext w:val="0"/>
        <w:keepLines w:val="0"/>
        <w:pageBreakBefore w:val="0"/>
        <w:shd w:val="clear"/>
        <w:spacing w:line="360" w:lineRule="auto"/>
        <w:ind w:firstLine="480"/>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t>(3)负责编制绿地养护年度管理计划</w:t>
      </w:r>
      <w:r>
        <w:rPr>
          <w:rStyle w:val="38"/>
          <w:rFonts w:hint="eastAsia" w:ascii="宋体" w:hAnsi="宋体" w:cs="宋体"/>
          <w:color w:val="000000" w:themeColor="text1"/>
          <w:sz w:val="24"/>
          <w:szCs w:val="24"/>
          <w:highlight w:val="none"/>
          <w:lang w:val="en-US" w:eastAsia="zh-CN"/>
          <w14:textFill>
            <w14:solidFill>
              <w14:schemeClr w14:val="tx1"/>
            </w14:solidFill>
          </w14:textFill>
        </w:rPr>
        <w:t>；</w:t>
      </w:r>
    </w:p>
    <w:p w14:paraId="3940BEF4">
      <w:pPr>
        <w:pStyle w:val="552"/>
        <w:keepNext w:val="0"/>
        <w:keepLines w:val="0"/>
        <w:pageBreakBefore w:val="0"/>
        <w:shd w:val="clear"/>
        <w:spacing w:line="360" w:lineRule="auto"/>
        <w:ind w:firstLine="480"/>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t>(4)工作人员统一着装，并作好相关劳动安全防护工作，严格遵守各项管理规定</w:t>
      </w:r>
      <w:r>
        <w:rPr>
          <w:rStyle w:val="38"/>
          <w:rFonts w:hint="eastAsia" w:ascii="宋体" w:hAnsi="宋体" w:cs="宋体"/>
          <w:color w:val="000000" w:themeColor="text1"/>
          <w:sz w:val="24"/>
          <w:szCs w:val="24"/>
          <w:highlight w:val="none"/>
          <w:lang w:val="en-US" w:eastAsia="zh-CN"/>
          <w14:textFill>
            <w14:solidFill>
              <w14:schemeClr w14:val="tx1"/>
            </w14:solidFill>
          </w14:textFill>
        </w:rPr>
        <w:t>；</w:t>
      </w:r>
    </w:p>
    <w:p w14:paraId="2C53CBF4">
      <w:pPr>
        <w:pStyle w:val="552"/>
        <w:keepNext w:val="0"/>
        <w:keepLines w:val="0"/>
        <w:pageBreakBefore w:val="0"/>
        <w:shd w:val="clear"/>
        <w:spacing w:line="360" w:lineRule="auto"/>
        <w:ind w:firstLine="480"/>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t>(5)如遇张家港市的各项重要活动、参观接待时，乙方应及时组织人员到位，完成各项突击任务</w:t>
      </w:r>
      <w:r>
        <w:rPr>
          <w:rStyle w:val="38"/>
          <w:rFonts w:hint="eastAsia" w:ascii="宋体" w:hAnsi="宋体" w:cs="宋体"/>
          <w:color w:val="000000" w:themeColor="text1"/>
          <w:sz w:val="24"/>
          <w:szCs w:val="24"/>
          <w:highlight w:val="none"/>
          <w:lang w:val="en-US" w:eastAsia="zh-CN"/>
          <w14:textFill>
            <w14:solidFill>
              <w14:schemeClr w14:val="tx1"/>
            </w14:solidFill>
          </w14:textFill>
        </w:rPr>
        <w:t>；</w:t>
      </w:r>
    </w:p>
    <w:p w14:paraId="1F5F9603">
      <w:pPr>
        <w:pStyle w:val="552"/>
        <w:keepNext w:val="0"/>
        <w:keepLines w:val="0"/>
        <w:pageBreakBefore w:val="0"/>
        <w:shd w:val="clear"/>
        <w:spacing w:line="360" w:lineRule="auto"/>
        <w:ind w:firstLine="480"/>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val="0"/>
          <w:spacing w:val="-1"/>
          <w:sz w:val="24"/>
          <w:szCs w:val="24"/>
          <w:highlight w:val="none"/>
        </w:rPr>
        <w:t>本合同终止，乙方不得以任何条件向甲方索赔</w:t>
      </w:r>
      <w:r>
        <w:rPr>
          <w:rFonts w:hint="eastAsia" w:ascii="宋体" w:hAnsi="宋体" w:cs="宋体"/>
          <w:b w:val="0"/>
          <w:bCs w:val="0"/>
          <w:spacing w:val="-1"/>
          <w:sz w:val="24"/>
          <w:szCs w:val="24"/>
          <w:highlight w:val="none"/>
          <w:lang w:eastAsia="zh-CN"/>
        </w:rPr>
        <w:t>，</w:t>
      </w:r>
      <w:r>
        <w:rPr>
          <w:rStyle w:val="38"/>
          <w:rFonts w:hint="eastAsia" w:ascii="宋体" w:hAnsi="宋体" w:eastAsia="宋体" w:cs="宋体"/>
          <w:color w:val="000000" w:themeColor="text1"/>
          <w:sz w:val="24"/>
          <w:szCs w:val="24"/>
          <w:highlight w:val="none"/>
          <w:lang w:val="en-US" w:eastAsia="zh-CN"/>
          <w14:textFill>
            <w14:solidFill>
              <w14:schemeClr w14:val="tx1"/>
            </w14:solidFill>
          </w14:textFill>
        </w:rPr>
        <w:t>乙方须向甲方移交绿地养护服务全部档案资料。</w:t>
      </w:r>
    </w:p>
    <w:p w14:paraId="3AC724B7">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2"/>
        <w:contextualSpacing/>
        <w:jc w:val="left"/>
        <w:rPr>
          <w:rFonts w:hint="default"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十、特殊约定</w:t>
      </w:r>
    </w:p>
    <w:p w14:paraId="44584B78">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firstLineChars="200"/>
        <w:contextualSpacing/>
        <w:jc w:val="left"/>
        <w:rPr>
          <w:rFonts w:hint="default"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10.1 因规划调整和上级要求，若乙方负责养护的绿地面积出现重大变化时，以中标价和实际增减面积（10%以内）据实进行调整。</w:t>
      </w:r>
    </w:p>
    <w:p w14:paraId="2AAA86C2">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2"/>
        <w:contextualSpacing/>
        <w:jc w:val="lef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十一</w:t>
      </w:r>
      <w:r>
        <w:rPr>
          <w:rFonts w:ascii="宋体" w:hAnsi="宋体" w:cs="宋体"/>
          <w:b/>
          <w:color w:val="000000" w:themeColor="text1"/>
          <w:sz w:val="24"/>
          <w:highlight w:val="none"/>
          <w14:textFill>
            <w14:solidFill>
              <w14:schemeClr w14:val="tx1"/>
            </w14:solidFill>
          </w14:textFill>
        </w:rPr>
        <w:t>、服务质量</w:t>
      </w:r>
    </w:p>
    <w:p w14:paraId="6C31D48A">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11.1 </w:t>
      </w:r>
      <w:r>
        <w:rPr>
          <w:rFonts w:ascii="宋体" w:hAnsi="宋体" w:cs="宋体"/>
          <w:color w:val="000000" w:themeColor="text1"/>
          <w:sz w:val="24"/>
          <w:highlight w:val="none"/>
          <w14:textFill>
            <w14:solidFill>
              <w14:schemeClr w14:val="tx1"/>
            </w14:solidFill>
          </w14:textFill>
        </w:rPr>
        <w:t>乙方提供的管理服务应达到投标文件所约定的目标。对达标的理解有异议的，由双方共同认可的第三方予以评定。</w:t>
      </w:r>
    </w:p>
    <w:p w14:paraId="301543CE">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2"/>
        <w:contextualSpacing/>
        <w:jc w:val="left"/>
        <w:rPr>
          <w:rFonts w:ascii="宋体" w:hAnsi="宋体" w:cs="宋体"/>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十</w:t>
      </w:r>
      <w:r>
        <w:rPr>
          <w:rFonts w:hint="eastAsia" w:ascii="宋体" w:hAnsi="宋体" w:cs="宋体"/>
          <w:b/>
          <w:color w:val="000000" w:themeColor="text1"/>
          <w:sz w:val="24"/>
          <w:highlight w:val="none"/>
          <w:lang w:val="en-US" w:eastAsia="zh-CN"/>
          <w14:textFill>
            <w14:solidFill>
              <w14:schemeClr w14:val="tx1"/>
            </w14:solidFill>
          </w14:textFill>
        </w:rPr>
        <w:t>二</w:t>
      </w:r>
      <w:r>
        <w:rPr>
          <w:rFonts w:ascii="宋体" w:hAnsi="宋体" w:cs="宋体"/>
          <w:b/>
          <w:color w:val="000000" w:themeColor="text1"/>
          <w:sz w:val="24"/>
          <w:highlight w:val="none"/>
          <w14:textFill>
            <w14:solidFill>
              <w14:schemeClr w14:val="tx1"/>
            </w14:solidFill>
          </w14:textFill>
        </w:rPr>
        <w:t>、违约责任</w:t>
      </w:r>
    </w:p>
    <w:p w14:paraId="0B0D197A">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.1 甲方违反合同的约定，使乙方未完成规定管理目标，乙方有权要求甲方在一定期限内解决，逾期未解决的，乙方有权终止合同，造成乙方经济损失的，甲方给予乙方经济赔偿</w:t>
      </w:r>
      <w:r>
        <w:rPr>
          <w:rFonts w:hint="eastAsia" w:ascii="宋体" w:hAnsi="宋体" w:cs="宋体"/>
          <w:color w:val="000000" w:themeColor="text1"/>
          <w:sz w:val="24"/>
          <w:highlight w:val="none"/>
          <w:lang w:val="en-US" w:eastAsia="zh-CN"/>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 xml:space="preserve"> </w:t>
      </w:r>
    </w:p>
    <w:p w14:paraId="0C14C196">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.2 甲方逾期办理合同款支付的,应当支付逾期利息，且逾期利息的利率不得低于合同订立时1年期贷款市场报价利率</w:t>
      </w:r>
      <w:r>
        <w:rPr>
          <w:rFonts w:hint="eastAsia" w:ascii="宋体" w:hAnsi="宋体" w:cs="宋体"/>
          <w:color w:val="000000" w:themeColor="text1"/>
          <w:sz w:val="24"/>
          <w:highlight w:val="none"/>
          <w:lang w:val="en-US" w:eastAsia="zh-CN"/>
          <w14:textFill>
            <w14:solidFill>
              <w14:schemeClr w14:val="tx1"/>
            </w14:solidFill>
          </w14:textFill>
        </w:rPr>
        <w:t>；</w:t>
      </w:r>
      <w:r>
        <w:rPr>
          <w:rFonts w:ascii="宋体" w:hAnsi="宋体" w:cs="宋体"/>
          <w:color w:val="000000" w:themeColor="text1"/>
          <w:sz w:val="24"/>
          <w:highlight w:val="none"/>
          <w14:textFill>
            <w14:solidFill>
              <w14:schemeClr w14:val="tx1"/>
            </w14:solidFill>
          </w14:textFill>
        </w:rPr>
        <w:t xml:space="preserve"> </w:t>
      </w:r>
    </w:p>
    <w:p w14:paraId="07D33B6D">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.3 乙方违反合同的约定，未能达到约定的管理目标，甲方有权要求乙方限期整改，逾期未整改的，甲方有权终止合同，造成甲方经济损失的，乙方给予甲方赔偿</w:t>
      </w:r>
      <w:r>
        <w:rPr>
          <w:rFonts w:hint="eastAsia" w:ascii="宋体" w:hAnsi="宋体" w:cs="宋体"/>
          <w:color w:val="000000" w:themeColor="text1"/>
          <w:sz w:val="24"/>
          <w:highlight w:val="none"/>
          <w:lang w:val="en-US" w:eastAsia="zh-CN"/>
          <w14:textFill>
            <w14:solidFill>
              <w14:schemeClr w14:val="tx1"/>
            </w14:solidFill>
          </w14:textFill>
        </w:rPr>
        <w:t>；</w:t>
      </w:r>
    </w:p>
    <w:p w14:paraId="73C1E2E5">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.4 本合同生效后，甲乙双方任何一方无正当理由要求终止合同的，除双方签订补充协议外，责任方须按本合同及其补充协议的有关条款之规定承担违约责任，并应向对方支付合同金额 10% 的违约金。</w:t>
      </w:r>
    </w:p>
    <w:p w14:paraId="6B4D227B">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72"/>
        <w:contextualSpacing/>
        <w:jc w:val="left"/>
        <w:rPr>
          <w:rFonts w:ascii="宋体" w:hAnsi="宋体" w:cs="宋体"/>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十</w:t>
      </w:r>
      <w:r>
        <w:rPr>
          <w:rFonts w:hint="eastAsia" w:ascii="宋体" w:hAnsi="宋体" w:cs="宋体"/>
          <w:b/>
          <w:color w:val="000000" w:themeColor="text1"/>
          <w:sz w:val="24"/>
          <w:highlight w:val="none"/>
          <w:lang w:val="en-US" w:eastAsia="zh-CN"/>
          <w14:textFill>
            <w14:solidFill>
              <w14:schemeClr w14:val="tx1"/>
            </w14:solidFill>
          </w14:textFill>
        </w:rPr>
        <w:t>三</w:t>
      </w:r>
      <w:r>
        <w:rPr>
          <w:rFonts w:ascii="宋体" w:hAnsi="宋体" w:cs="宋体"/>
          <w:b/>
          <w:color w:val="000000" w:themeColor="text1"/>
          <w:sz w:val="24"/>
          <w:highlight w:val="none"/>
          <w14:textFill>
            <w14:solidFill>
              <w14:schemeClr w14:val="tx1"/>
            </w14:solidFill>
          </w14:textFill>
        </w:rPr>
        <w:t>、不可抗力事件处理</w:t>
      </w:r>
    </w:p>
    <w:p w14:paraId="142FDA79">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ascii="宋体" w:hAnsi="宋体" w:cs="宋体"/>
          <w:color w:val="000000" w:themeColor="text1"/>
          <w:sz w:val="24"/>
          <w:highlight w:val="none"/>
          <w14:textFill>
            <w14:solidFill>
              <w14:schemeClr w14:val="tx1"/>
            </w14:solidFill>
          </w14:textFill>
        </w:rPr>
        <w:t>.1 在合同有效期内，任何一方因不可抗力事件导致不能履行合同，则合同履行期可延长，其延长期与不可抗力影响期相同</w:t>
      </w:r>
      <w:r>
        <w:rPr>
          <w:rFonts w:hint="eastAsia" w:ascii="宋体" w:hAnsi="宋体" w:cs="宋体"/>
          <w:color w:val="000000" w:themeColor="text1"/>
          <w:sz w:val="24"/>
          <w:highlight w:val="none"/>
          <w:lang w:val="en-US" w:eastAsia="zh-CN"/>
          <w14:textFill>
            <w14:solidFill>
              <w14:schemeClr w14:val="tx1"/>
            </w14:solidFill>
          </w14:textFill>
        </w:rPr>
        <w:t>；</w:t>
      </w:r>
    </w:p>
    <w:p w14:paraId="04744D11">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ascii="宋体" w:hAnsi="宋体" w:cs="宋体"/>
          <w:color w:val="000000" w:themeColor="text1"/>
          <w:sz w:val="24"/>
          <w:highlight w:val="none"/>
          <w14:textFill>
            <w14:solidFill>
              <w14:schemeClr w14:val="tx1"/>
            </w14:solidFill>
          </w14:textFill>
        </w:rPr>
        <w:t>.2 不可抗力事件发生后，应立即通知对方，并寄送有关权威机构出具的证明</w:t>
      </w:r>
      <w:r>
        <w:rPr>
          <w:rFonts w:hint="eastAsia" w:ascii="宋体" w:hAnsi="宋体" w:cs="宋体"/>
          <w:color w:val="000000" w:themeColor="text1"/>
          <w:sz w:val="24"/>
          <w:highlight w:val="none"/>
          <w:lang w:val="en-US" w:eastAsia="zh-CN"/>
          <w14:textFill>
            <w14:solidFill>
              <w14:schemeClr w14:val="tx1"/>
            </w14:solidFill>
          </w14:textFill>
        </w:rPr>
        <w:t>；</w:t>
      </w:r>
    </w:p>
    <w:p w14:paraId="2A47E6DF">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7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3</w:t>
      </w:r>
      <w:r>
        <w:rPr>
          <w:rFonts w:ascii="宋体" w:hAnsi="宋体" w:cs="宋体"/>
          <w:color w:val="000000" w:themeColor="text1"/>
          <w:sz w:val="24"/>
          <w:highlight w:val="none"/>
          <w14:textFill>
            <w14:solidFill>
              <w14:schemeClr w14:val="tx1"/>
            </w14:solidFill>
          </w14:textFill>
        </w:rPr>
        <w:t>.3 不可抗力事件延续120天以上，双方应通过友好协商，确定是否继续履行合同。</w:t>
      </w:r>
    </w:p>
    <w:p w14:paraId="7EAA9F49">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contextualSpacing/>
        <w:jc w:val="left"/>
        <w:rPr>
          <w:rFonts w:ascii="宋体" w:hAnsi="宋体" w:cs="宋体"/>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    十</w:t>
      </w:r>
      <w:r>
        <w:rPr>
          <w:rFonts w:hint="eastAsia" w:ascii="宋体" w:hAnsi="宋体" w:cs="宋体"/>
          <w:b/>
          <w:color w:val="000000" w:themeColor="text1"/>
          <w:sz w:val="24"/>
          <w:highlight w:val="none"/>
          <w:lang w:val="en-US" w:eastAsia="zh-CN"/>
          <w14:textFill>
            <w14:solidFill>
              <w14:schemeClr w14:val="tx1"/>
            </w14:solidFill>
          </w14:textFill>
        </w:rPr>
        <w:t>四</w:t>
      </w:r>
      <w:r>
        <w:rPr>
          <w:rFonts w:ascii="宋体" w:hAnsi="宋体" w:cs="宋体"/>
          <w:b/>
          <w:color w:val="000000" w:themeColor="text1"/>
          <w:sz w:val="24"/>
          <w:highlight w:val="none"/>
          <w14:textFill>
            <w14:solidFill>
              <w14:schemeClr w14:val="tx1"/>
            </w14:solidFill>
          </w14:textFill>
        </w:rPr>
        <w:t>、解决争议的方法</w:t>
      </w:r>
    </w:p>
    <w:p w14:paraId="799C8479">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1</w:t>
      </w:r>
      <w:r>
        <w:rPr>
          <w:rFonts w:hint="eastAsia" w:ascii="宋体" w:hAnsi="宋体" w:cs="宋体"/>
          <w:color w:val="000000" w:themeColor="text1"/>
          <w:sz w:val="24"/>
          <w:highlight w:val="none"/>
          <w:lang w:val="en-US" w:eastAsia="zh-CN"/>
          <w14:textFill>
            <w14:solidFill>
              <w14:schemeClr w14:val="tx1"/>
            </w14:solidFill>
          </w14:textFill>
        </w:rPr>
        <w:t>4</w:t>
      </w:r>
      <w:r>
        <w:rPr>
          <w:rFonts w:ascii="宋体" w:hAnsi="宋体" w:cs="宋体"/>
          <w:color w:val="000000" w:themeColor="text1"/>
          <w:sz w:val="24"/>
          <w:highlight w:val="none"/>
          <w14:textFill>
            <w14:solidFill>
              <w14:schemeClr w14:val="tx1"/>
            </w14:solidFill>
          </w14:textFill>
        </w:rPr>
        <w:t>.1 双方在签订、履行合同中所发生的一切争议，应通过友好协商解决。如协商不成，由甲方住所地人民法院管辖。</w:t>
      </w:r>
    </w:p>
    <w:p w14:paraId="5E203B3C">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72"/>
        <w:contextualSpacing/>
        <w:jc w:val="left"/>
        <w:rPr>
          <w:rFonts w:ascii="宋体" w:hAnsi="宋体" w:cs="宋体"/>
          <w:color w:val="000000" w:themeColor="text1"/>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十</w:t>
      </w:r>
      <w:r>
        <w:rPr>
          <w:rFonts w:hint="eastAsia" w:ascii="宋体" w:hAnsi="宋体" w:cs="宋体"/>
          <w:b/>
          <w:color w:val="000000" w:themeColor="text1"/>
          <w:sz w:val="24"/>
          <w:highlight w:val="none"/>
          <w:lang w:val="en-US" w:eastAsia="zh-CN"/>
          <w14:textFill>
            <w14:solidFill>
              <w14:schemeClr w14:val="tx1"/>
            </w14:solidFill>
          </w14:textFill>
        </w:rPr>
        <w:t>五</w:t>
      </w:r>
      <w:r>
        <w:rPr>
          <w:rFonts w:ascii="宋体" w:hAnsi="宋体" w:cs="宋体"/>
          <w:b/>
          <w:color w:val="000000" w:themeColor="text1"/>
          <w:sz w:val="24"/>
          <w:highlight w:val="none"/>
          <w14:textFill>
            <w14:solidFill>
              <w14:schemeClr w14:val="tx1"/>
            </w14:solidFill>
          </w14:textFill>
        </w:rPr>
        <w:t>、合同其他文件</w:t>
      </w:r>
    </w:p>
    <w:p w14:paraId="21AD3886">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5</w:t>
      </w:r>
      <w:r>
        <w:rPr>
          <w:rFonts w:ascii="宋体" w:hAnsi="宋体" w:cs="宋体"/>
          <w:color w:val="000000" w:themeColor="text1"/>
          <w:sz w:val="24"/>
          <w:highlight w:val="none"/>
          <w14:textFill>
            <w14:solidFill>
              <w14:schemeClr w14:val="tx1"/>
            </w14:solidFill>
          </w14:textFill>
        </w:rPr>
        <w:t>.1 下列文件为本合同不可分割部份，与本合同具有同等效力。</w:t>
      </w:r>
    </w:p>
    <w:p w14:paraId="291D7507">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(1)中标通知书；</w:t>
      </w:r>
    </w:p>
    <w:p w14:paraId="18A558EF">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(2)供方中标的投标书；</w:t>
      </w:r>
    </w:p>
    <w:p w14:paraId="1F001A3B">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ind w:firstLine="480"/>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(3)招标文件；</w:t>
      </w:r>
    </w:p>
    <w:p w14:paraId="23821129">
      <w:pPr>
        <w:keepNext w:val="0"/>
        <w:keepLines w:val="0"/>
        <w:pageBreakBefore w:val="0"/>
        <w:pBdr>
          <w:top w:val="none" w:color="000000" w:sz="0" w:space="0"/>
          <w:left w:val="none" w:color="000000" w:sz="0" w:space="0"/>
          <w:bottom w:val="none" w:color="000000" w:sz="0" w:space="0"/>
          <w:right w:val="none" w:color="000000" w:sz="0" w:space="0"/>
        </w:pBdr>
        <w:shd w:val="clear"/>
        <w:spacing w:line="360" w:lineRule="auto"/>
        <w:contextualSpacing/>
        <w:jc w:val="left"/>
        <w:rPr>
          <w:rFonts w:ascii="宋体" w:hAnsi="宋体" w:cs="宋体"/>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(4)供方在招投标过程中所作的其他承诺、声明、书面澄清等。</w:t>
      </w:r>
    </w:p>
    <w:p w14:paraId="40095387">
      <w:pPr>
        <w:pStyle w:val="647"/>
        <w:keepNext w:val="0"/>
        <w:keepLines w:val="0"/>
        <w:pageBreakBefore w:val="0"/>
        <w:shd w:val="clear"/>
        <w:spacing w:line="360" w:lineRule="auto"/>
        <w:ind w:firstLine="482"/>
        <w:contextualSpacing/>
        <w:jc w:val="left"/>
        <w:rPr>
          <w:rFonts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十</w:t>
      </w:r>
      <w:r>
        <w:rPr>
          <w:rFonts w:hint="eastAsia" w:hAnsi="宋体" w:cs="宋体"/>
          <w:b/>
          <w:color w:val="000000" w:themeColor="text1"/>
          <w:sz w:val="24"/>
          <w:szCs w:val="24"/>
          <w:highlight w:val="none"/>
          <w:lang w:val="en-US" w:eastAsia="zh-CN"/>
          <w14:textFill>
            <w14:solidFill>
              <w14:schemeClr w14:val="tx1"/>
            </w14:solidFill>
          </w14:textFill>
        </w:rPr>
        <w:t>六</w:t>
      </w:r>
      <w:r>
        <w:rPr>
          <w:rFonts w:hAnsi="宋体" w:cs="宋体"/>
          <w:b/>
          <w:color w:val="000000" w:themeColor="text1"/>
          <w:sz w:val="24"/>
          <w:szCs w:val="24"/>
          <w:highlight w:val="none"/>
          <w14:textFill>
            <w14:solidFill>
              <w14:schemeClr w14:val="tx1"/>
            </w14:solidFill>
          </w14:textFill>
        </w:rPr>
        <w:t>、合同生效及其它</w:t>
      </w:r>
    </w:p>
    <w:p w14:paraId="6A98782B">
      <w:pPr>
        <w:pStyle w:val="647"/>
        <w:keepNext w:val="0"/>
        <w:keepLines w:val="0"/>
        <w:pageBreakBefore w:val="0"/>
        <w:shd w:val="clear"/>
        <w:spacing w:line="360" w:lineRule="auto"/>
        <w:contextualSpacing/>
        <w:jc w:val="lef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    1</w:t>
      </w:r>
      <w:r>
        <w:rPr>
          <w:rFonts w:hint="eastAsia" w:hAnsi="宋体" w:cs="宋体"/>
          <w:color w:val="000000" w:themeColor="text1"/>
          <w:sz w:val="24"/>
          <w:szCs w:val="24"/>
          <w:highlight w:val="none"/>
          <w:lang w:val="en-US" w:eastAsia="zh-CN"/>
          <w14:textFill>
            <w14:solidFill>
              <w14:schemeClr w14:val="tx1"/>
            </w14:solidFill>
          </w14:textFill>
        </w:rPr>
        <w:t>6</w:t>
      </w:r>
      <w:r>
        <w:rPr>
          <w:rFonts w:hAnsi="宋体" w:cs="宋体"/>
          <w:color w:val="000000" w:themeColor="text1"/>
          <w:sz w:val="24"/>
          <w:szCs w:val="24"/>
          <w:highlight w:val="none"/>
          <w14:textFill>
            <w14:solidFill>
              <w14:schemeClr w14:val="tx1"/>
            </w14:solidFill>
          </w14:textFill>
        </w:rPr>
        <w:t>.1 合同经双方法定代表人或授权委托代</w:t>
      </w:r>
      <w:r>
        <w:rPr>
          <w:rFonts w:hint="eastAsia" w:hAnsi="宋体" w:cs="宋体"/>
          <w:color w:val="000000" w:themeColor="text1"/>
          <w:sz w:val="24"/>
          <w:szCs w:val="24"/>
          <w:highlight w:val="none"/>
          <w14:textFill>
            <w14:solidFill>
              <w14:schemeClr w14:val="tx1"/>
            </w14:solidFill>
          </w14:textFill>
        </w:rPr>
        <w:t>表</w:t>
      </w:r>
      <w:r>
        <w:rPr>
          <w:rFonts w:hAnsi="宋体" w:cs="宋体"/>
          <w:color w:val="000000" w:themeColor="text1"/>
          <w:sz w:val="24"/>
          <w:szCs w:val="24"/>
          <w:highlight w:val="none"/>
          <w14:textFill>
            <w14:solidFill>
              <w14:schemeClr w14:val="tx1"/>
            </w14:solidFill>
          </w14:textFill>
        </w:rPr>
        <w:t>人签字并加盖单位公章后生效</w:t>
      </w:r>
      <w:r>
        <w:rPr>
          <w:rFonts w:hint="eastAsia" w:ascii="宋体" w:hAnsi="宋体" w:cs="宋体"/>
          <w:color w:val="000000" w:themeColor="text1"/>
          <w:sz w:val="24"/>
          <w:highlight w:val="none"/>
          <w:lang w:val="en-US" w:eastAsia="zh-CN"/>
          <w14:textFill>
            <w14:solidFill>
              <w14:schemeClr w14:val="tx1"/>
            </w14:solidFill>
          </w14:textFill>
        </w:rPr>
        <w:t>；</w:t>
      </w:r>
    </w:p>
    <w:p w14:paraId="112A8F1E">
      <w:pPr>
        <w:pStyle w:val="647"/>
        <w:keepNext w:val="0"/>
        <w:keepLines w:val="0"/>
        <w:pageBreakBefore w:val="0"/>
        <w:shd w:val="clear"/>
        <w:spacing w:line="360" w:lineRule="auto"/>
        <w:contextualSpacing/>
        <w:jc w:val="lef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    1</w:t>
      </w:r>
      <w:r>
        <w:rPr>
          <w:rFonts w:hint="eastAsia" w:hAnsi="宋体" w:cs="宋体"/>
          <w:color w:val="000000" w:themeColor="text1"/>
          <w:sz w:val="24"/>
          <w:szCs w:val="24"/>
          <w:highlight w:val="none"/>
          <w:lang w:val="en-US" w:eastAsia="zh-CN"/>
          <w14:textFill>
            <w14:solidFill>
              <w14:schemeClr w14:val="tx1"/>
            </w14:solidFill>
          </w14:textFill>
        </w:rPr>
        <w:t>6</w:t>
      </w:r>
      <w:r>
        <w:rPr>
          <w:rFonts w:hAnsi="宋体" w:cs="宋体"/>
          <w:color w:val="000000" w:themeColor="text1"/>
          <w:sz w:val="24"/>
          <w:szCs w:val="24"/>
          <w:highlight w:val="none"/>
          <w14:textFill>
            <w14:solidFill>
              <w14:schemeClr w14:val="tx1"/>
            </w14:solidFill>
          </w14:textFill>
        </w:rPr>
        <w:t>.2 本合同未尽事宜，遵照</w:t>
      </w:r>
      <w:r>
        <w:rPr>
          <w:rFonts w:hint="eastAsia" w:hAnsi="宋体" w:cs="宋体"/>
          <w:color w:val="000000" w:themeColor="text1"/>
          <w:sz w:val="24"/>
          <w:szCs w:val="24"/>
          <w:highlight w:val="none"/>
          <w14:textFill>
            <w14:solidFill>
              <w14:schemeClr w14:val="tx1"/>
            </w14:solidFill>
          </w14:textFill>
        </w:rPr>
        <w:t>《民法典》、《政府采购法》</w:t>
      </w:r>
      <w:r>
        <w:rPr>
          <w:rFonts w:hAnsi="宋体" w:cs="宋体"/>
          <w:color w:val="000000" w:themeColor="text1"/>
          <w:sz w:val="24"/>
          <w:szCs w:val="24"/>
          <w:highlight w:val="none"/>
          <w14:textFill>
            <w14:solidFill>
              <w14:schemeClr w14:val="tx1"/>
            </w14:solidFill>
          </w14:textFill>
        </w:rPr>
        <w:t>有关条文执行</w:t>
      </w:r>
      <w:r>
        <w:rPr>
          <w:rFonts w:hint="eastAsia" w:ascii="宋体" w:hAnsi="宋体" w:cs="宋体"/>
          <w:color w:val="000000" w:themeColor="text1"/>
          <w:sz w:val="24"/>
          <w:highlight w:val="none"/>
          <w:lang w:val="en-US" w:eastAsia="zh-CN"/>
          <w14:textFill>
            <w14:solidFill>
              <w14:schemeClr w14:val="tx1"/>
            </w14:solidFill>
          </w14:textFill>
        </w:rPr>
        <w:t>；</w:t>
      </w:r>
    </w:p>
    <w:p w14:paraId="551E1A45">
      <w:pPr>
        <w:pStyle w:val="647"/>
        <w:keepNext w:val="0"/>
        <w:keepLines w:val="0"/>
        <w:pageBreakBefore w:val="0"/>
        <w:shd w:val="clear"/>
        <w:spacing w:line="360" w:lineRule="auto"/>
        <w:ind w:left="0" w:firstLine="0"/>
        <w:contextualSpacing/>
        <w:jc w:val="lef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    1</w:t>
      </w:r>
      <w:r>
        <w:rPr>
          <w:rFonts w:hint="eastAsia" w:hAnsi="宋体" w:cs="宋体"/>
          <w:color w:val="000000" w:themeColor="text1"/>
          <w:sz w:val="24"/>
          <w:szCs w:val="24"/>
          <w:highlight w:val="none"/>
          <w:lang w:val="en-US" w:eastAsia="zh-CN"/>
          <w14:textFill>
            <w14:solidFill>
              <w14:schemeClr w14:val="tx1"/>
            </w14:solidFill>
          </w14:textFill>
        </w:rPr>
        <w:t>6</w:t>
      </w:r>
      <w:r>
        <w:rPr>
          <w:rFonts w:hAnsi="宋体" w:cs="宋体"/>
          <w:color w:val="000000" w:themeColor="text1"/>
          <w:sz w:val="24"/>
          <w:szCs w:val="24"/>
          <w:highlight w:val="none"/>
          <w14:textFill>
            <w14:solidFill>
              <w14:schemeClr w14:val="tx1"/>
            </w14:solidFill>
          </w14:textFill>
        </w:rPr>
        <w:t>.</w:t>
      </w:r>
      <w:r>
        <w:rPr>
          <w:rFonts w:hint="eastAsia" w:hAnsi="宋体" w:cs="宋体"/>
          <w:color w:val="000000" w:themeColor="text1"/>
          <w:sz w:val="24"/>
          <w:szCs w:val="24"/>
          <w:highlight w:val="none"/>
          <w14:textFill>
            <w14:solidFill>
              <w14:schemeClr w14:val="tx1"/>
            </w14:solidFill>
          </w14:textFill>
        </w:rPr>
        <w:t>3</w:t>
      </w:r>
      <w:r>
        <w:rPr>
          <w:rFonts w:hAnsi="宋体" w:cs="宋体"/>
          <w:color w:val="000000" w:themeColor="text1"/>
          <w:sz w:val="24"/>
          <w:szCs w:val="24"/>
          <w:highlight w:val="none"/>
          <w14:textFill>
            <w14:solidFill>
              <w14:schemeClr w14:val="tx1"/>
            </w14:solidFill>
          </w14:textFill>
        </w:rPr>
        <w:t xml:space="preserve"> 本合同一式</w:t>
      </w:r>
      <w:r>
        <w:rPr>
          <w:rFonts w:hint="eastAsia" w:hAnsi="宋体" w:cs="宋体"/>
          <w:color w:val="000000" w:themeColor="text1"/>
          <w:sz w:val="24"/>
          <w:szCs w:val="24"/>
          <w:highlight w:val="none"/>
          <w:lang w:val="en-US" w:eastAsia="zh-CN"/>
          <w14:textFill>
            <w14:solidFill>
              <w14:schemeClr w14:val="tx1"/>
            </w14:solidFill>
          </w14:textFill>
        </w:rPr>
        <w:t>六</w:t>
      </w:r>
      <w:r>
        <w:rPr>
          <w:rFonts w:hAnsi="宋体" w:cs="宋体"/>
          <w:color w:val="000000" w:themeColor="text1"/>
          <w:sz w:val="24"/>
          <w:szCs w:val="24"/>
          <w:highlight w:val="none"/>
          <w14:textFill>
            <w14:solidFill>
              <w14:schemeClr w14:val="tx1"/>
            </w14:solidFill>
          </w14:textFill>
        </w:rPr>
        <w:t>份，具有同等法律效力，甲</w:t>
      </w:r>
      <w:r>
        <w:rPr>
          <w:rFonts w:hint="eastAsia" w:hAnsi="宋体" w:cs="宋体"/>
          <w:color w:val="000000" w:themeColor="text1"/>
          <w:sz w:val="24"/>
          <w:szCs w:val="24"/>
          <w:highlight w:val="none"/>
          <w14:textFill>
            <w14:solidFill>
              <w14:schemeClr w14:val="tx1"/>
            </w14:solidFill>
          </w14:textFill>
        </w:rPr>
        <w:t>方、</w:t>
      </w:r>
      <w:r>
        <w:rPr>
          <w:rFonts w:hAnsi="宋体" w:cs="宋体"/>
          <w:color w:val="000000" w:themeColor="text1"/>
          <w:sz w:val="24"/>
          <w:szCs w:val="24"/>
          <w:highlight w:val="none"/>
          <w14:textFill>
            <w14:solidFill>
              <w14:schemeClr w14:val="tx1"/>
            </w14:solidFill>
          </w14:textFill>
        </w:rPr>
        <w:t>乙方各执二份</w:t>
      </w:r>
      <w:r>
        <w:rPr>
          <w:rFonts w:hint="eastAsia" w:hAnsi="宋体" w:cs="宋体"/>
          <w:color w:val="000000" w:themeColor="text1"/>
          <w:sz w:val="24"/>
          <w:szCs w:val="24"/>
          <w:highlight w:val="none"/>
          <w:lang w:eastAsia="zh-CN"/>
          <w14:textFill>
            <w14:solidFill>
              <w14:schemeClr w14:val="tx1"/>
            </w14:solidFill>
          </w14:textFill>
        </w:rPr>
        <w:t>，</w:t>
      </w:r>
      <w:r>
        <w:rPr>
          <w:rFonts w:hint="eastAsia" w:hAnsi="宋体" w:cs="宋体"/>
          <w:color w:val="000000" w:themeColor="text1"/>
          <w:sz w:val="24"/>
          <w:szCs w:val="24"/>
          <w:highlight w:val="none"/>
          <w:lang w:val="en-US" w:eastAsia="zh-CN"/>
          <w14:textFill>
            <w14:solidFill>
              <w14:schemeClr w14:val="tx1"/>
            </w14:solidFill>
          </w14:textFill>
        </w:rPr>
        <w:t>张家港市政府采购管理中心、代理机构各执一份</w:t>
      </w:r>
      <w:r>
        <w:rPr>
          <w:rFonts w:hAnsi="宋体" w:cs="宋体"/>
          <w:color w:val="000000" w:themeColor="text1"/>
          <w:sz w:val="24"/>
          <w:szCs w:val="24"/>
          <w:highlight w:val="none"/>
          <w14:textFill>
            <w14:solidFill>
              <w14:schemeClr w14:val="tx1"/>
            </w14:solidFill>
          </w14:textFill>
        </w:rPr>
        <w:t>。</w:t>
      </w:r>
    </w:p>
    <w:p w14:paraId="05B6732B">
      <w:pPr>
        <w:pStyle w:val="647"/>
        <w:shd w:val="clear"/>
        <w:spacing w:before="120" w:after="120" w:line="0" w:lineRule="atLeast"/>
        <w:jc w:val="right"/>
        <w:rPr>
          <w:rFonts w:ascii="黑体" w:eastAsia="黑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w:t>
      </w:r>
      <w:bookmarkEnd w:id="161"/>
      <w:bookmarkEnd w:id="162"/>
      <w:bookmarkEnd w:id="163"/>
      <w:bookmarkStart w:id="164" w:name="_Hlt16619369"/>
      <w:bookmarkEnd w:id="164"/>
      <w:bookmarkStart w:id="165" w:name="_Hlt16619350"/>
      <w:bookmarkStart w:id="166" w:name="_Toc20823346"/>
      <w:bookmarkStart w:id="167" w:name="_Toc120614244"/>
      <w:bookmarkStart w:id="168" w:name="_Toc16938590"/>
    </w:p>
    <w:tbl>
      <w:tblPr>
        <w:tblStyle w:val="36"/>
        <w:tblW w:w="543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8" w:type="dxa"/>
          <w:bottom w:w="100" w:type="dxa"/>
          <w:right w:w="108" w:type="dxa"/>
        </w:tblCellMar>
      </w:tblPr>
      <w:tblGrid>
        <w:gridCol w:w="5782"/>
        <w:gridCol w:w="4465"/>
      </w:tblGrid>
      <w:tr w14:paraId="22077A3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3385" w:hRule="atLeast"/>
          <w:jc w:val="center"/>
        </w:trPr>
        <w:tc>
          <w:tcPr>
            <w:tcW w:w="5782" w:type="dxa"/>
            <w:noWrap w:val="0"/>
            <w:tcMar>
              <w:top w:w="100" w:type="dxa"/>
              <w:bottom w:w="100" w:type="dxa"/>
            </w:tcMar>
            <w:vAlign w:val="center"/>
          </w:tcPr>
          <w:p w14:paraId="72AB49DA">
            <w:pPr>
              <w:pStyle w:val="576"/>
              <w:keepNext w:val="0"/>
              <w:keepLines w:val="0"/>
              <w:pageBreakBefore w:val="0"/>
              <w:widowControl w:val="0"/>
              <w:shd w:val="clear"/>
              <w:kinsoku/>
              <w:wordWrap/>
              <w:overflowPunct/>
              <w:topLinePunct w:val="0"/>
              <w:autoSpaceDE/>
              <w:autoSpaceDN/>
              <w:bidi w:val="0"/>
              <w:adjustRightInd/>
              <w:snapToGrid/>
              <w:spacing w:line="360" w:lineRule="auto"/>
              <w:jc w:val="left"/>
              <w:textAlignment w:val="auto"/>
              <w:outlineLvl w:val="9"/>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甲方：</w:t>
            </w:r>
            <w:r>
              <w:rPr>
                <w:rFonts w:hint="eastAsia" w:ascii="宋体" w:hAnsi="宋体" w:eastAsia="宋体" w:cs="宋体"/>
                <w:color w:val="000000" w:themeColor="text1"/>
                <w:sz w:val="24"/>
                <w:highlight w:val="none"/>
                <w:lang w:val="en-US" w:eastAsia="zh-CN"/>
                <w14:textFill>
                  <w14:solidFill>
                    <w14:schemeClr w14:val="tx1"/>
                  </w14:solidFill>
                </w14:textFill>
              </w:rPr>
              <w:t>张家港市常阴沙现代农业示范园区管理委员会</w:t>
            </w:r>
          </w:p>
          <w:p w14:paraId="052AF81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w:t>
            </w:r>
            <w:r>
              <w:rPr>
                <w:rFonts w:hint="eastAsia" w:ascii="宋体" w:hAnsi="宋体" w:eastAsia="宋体" w:cs="宋体"/>
                <w:color w:val="000000"/>
                <w:kern w:val="0"/>
                <w:sz w:val="24"/>
                <w:szCs w:val="24"/>
                <w:lang w:val="en-US" w:eastAsia="zh-CN" w:bidi="ar"/>
              </w:rPr>
              <w:t>张家港市现代农业示范园区红旗中路 1 号</w:t>
            </w:r>
          </w:p>
          <w:p w14:paraId="2365FFF1">
            <w:pPr>
              <w:keepNext w:val="0"/>
              <w:keepLines w:val="0"/>
              <w:pageBreakBefore w:val="0"/>
              <w:widowControl w:val="0"/>
              <w:shd w:val="clear"/>
              <w:kinsoku/>
              <w:wordWrap/>
              <w:overflowPunct/>
              <w:topLinePunct w:val="0"/>
              <w:autoSpaceDE/>
              <w:autoSpaceDN/>
              <w:bidi w:val="0"/>
              <w:adjustRightInd/>
              <w:snapToGrid/>
              <w:spacing w:line="360" w:lineRule="auto"/>
              <w:ind w:left="0" w:right="0" w:firstLine="0"/>
              <w:jc w:val="left"/>
              <w:textAlignment w:val="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法定代表人或授权代表：</w:t>
            </w:r>
          </w:p>
          <w:p w14:paraId="04BFCB39">
            <w:pPr>
              <w:keepNext w:val="0"/>
              <w:keepLines w:val="0"/>
              <w:pageBreakBefore w:val="0"/>
              <w:widowControl w:val="0"/>
              <w:shd w:val="clear"/>
              <w:kinsoku/>
              <w:wordWrap/>
              <w:overflowPunct/>
              <w:topLinePunct w:val="0"/>
              <w:autoSpaceDE/>
              <w:autoSpaceDN/>
              <w:bidi w:val="0"/>
              <w:adjustRightInd/>
              <w:snapToGrid/>
              <w:spacing w:line="360" w:lineRule="auto"/>
              <w:ind w:left="0" w:right="0" w:firstLine="0"/>
              <w:jc w:val="left"/>
              <w:textAlignment w:val="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w:t>
            </w:r>
          </w:p>
          <w:p w14:paraId="23CC9D73">
            <w:pPr>
              <w:keepNext w:val="0"/>
              <w:keepLines w:val="0"/>
              <w:pageBreakBefore w:val="0"/>
              <w:widowControl w:val="0"/>
              <w:shd w:val="clear"/>
              <w:spacing w:line="360" w:lineRule="auto"/>
              <w:ind w:left="0" w:right="0" w:firstLine="0"/>
              <w:jc w:val="right"/>
              <w:outlineLvl w:val="9"/>
              <w:rPr>
                <w:rFonts w:hint="eastAsia" w:ascii="宋体" w:hAnsi="宋体" w:eastAsia="宋体" w:cs="宋体"/>
                <w:color w:val="000000" w:themeColor="text1"/>
                <w:sz w:val="24"/>
                <w:highlight w:val="none"/>
                <w14:textFill>
                  <w14:solidFill>
                    <w14:schemeClr w14:val="tx1"/>
                  </w14:solidFill>
                </w14:textFill>
              </w:rPr>
            </w:pPr>
          </w:p>
          <w:p w14:paraId="215CA8C2">
            <w:pPr>
              <w:keepNext w:val="0"/>
              <w:keepLines w:val="0"/>
              <w:pageBreakBefore w:val="0"/>
              <w:widowControl w:val="0"/>
              <w:shd w:val="clear"/>
              <w:spacing w:line="360" w:lineRule="auto"/>
              <w:ind w:left="0" w:right="0" w:firstLine="0"/>
              <w:jc w:val="both"/>
              <w:outlineLvl w:val="9"/>
              <w:rPr>
                <w:rFonts w:hint="eastAsia" w:ascii="宋体" w:hAnsi="宋体" w:eastAsia="宋体" w:cs="宋体"/>
                <w:color w:val="000000" w:themeColor="text1"/>
                <w:sz w:val="24"/>
                <w:highlight w:val="none"/>
                <w14:textFill>
                  <w14:solidFill>
                    <w14:schemeClr w14:val="tx1"/>
                  </w14:solidFill>
                </w14:textFill>
              </w:rPr>
            </w:pPr>
          </w:p>
        </w:tc>
        <w:tc>
          <w:tcPr>
            <w:tcW w:w="4465" w:type="dxa"/>
            <w:noWrap w:val="0"/>
            <w:tcMar>
              <w:top w:w="100" w:type="dxa"/>
              <w:bottom w:w="100" w:type="dxa"/>
            </w:tcMar>
            <w:vAlign w:val="center"/>
          </w:tcPr>
          <w:p w14:paraId="75A2BB6E">
            <w:pPr>
              <w:pStyle w:val="576"/>
              <w:keepNext w:val="0"/>
              <w:keepLines w:val="0"/>
              <w:pageBreakBefore w:val="0"/>
              <w:widowControl w:val="0"/>
              <w:shd w:val="clear"/>
              <w:spacing w:line="360" w:lineRule="auto"/>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乙</w:t>
            </w:r>
            <w:r>
              <w:rPr>
                <w:rFonts w:hint="eastAsia" w:ascii="宋体" w:hAnsi="宋体" w:eastAsia="宋体" w:cs="宋体"/>
                <w:color w:val="000000" w:themeColor="text1"/>
                <w:sz w:val="24"/>
                <w:highlight w:val="none"/>
                <w14:textFill>
                  <w14:solidFill>
                    <w14:schemeClr w14:val="tx1"/>
                  </w14:solidFill>
                </w14:textFill>
              </w:rPr>
              <w:t>方：</w:t>
            </w:r>
          </w:p>
          <w:p w14:paraId="7838A31D">
            <w:pPr>
              <w:pStyle w:val="576"/>
              <w:keepNext w:val="0"/>
              <w:keepLines w:val="0"/>
              <w:pageBreakBefore w:val="0"/>
              <w:widowControl w:val="0"/>
              <w:shd w:val="clear"/>
              <w:spacing w:line="360" w:lineRule="auto"/>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w:t>
            </w:r>
          </w:p>
          <w:p w14:paraId="7F144A58">
            <w:pPr>
              <w:keepNext w:val="0"/>
              <w:keepLines w:val="0"/>
              <w:pageBreakBefore w:val="0"/>
              <w:widowControl w:val="0"/>
              <w:shd w:val="clear"/>
              <w:spacing w:line="360" w:lineRule="auto"/>
              <w:ind w:left="0" w:right="0" w:firstLine="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法定代表人或授权代表：</w:t>
            </w:r>
          </w:p>
          <w:p w14:paraId="7DE9EB44">
            <w:pPr>
              <w:keepNext w:val="0"/>
              <w:keepLines w:val="0"/>
              <w:pageBreakBefore w:val="0"/>
              <w:widowControl w:val="0"/>
              <w:shd w:val="clear"/>
              <w:spacing w:line="360" w:lineRule="auto"/>
              <w:ind w:left="0" w:right="0" w:firstLine="0"/>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w:t>
            </w:r>
          </w:p>
          <w:p w14:paraId="08C2DF67">
            <w:pPr>
              <w:pStyle w:val="576"/>
              <w:keepNext w:val="0"/>
              <w:keepLines w:val="0"/>
              <w:pageBreakBefore w:val="0"/>
              <w:widowControl w:val="0"/>
              <w:shd w:val="clear"/>
              <w:spacing w:line="360" w:lineRule="auto"/>
              <w:jc w:val="right"/>
              <w:outlineLvl w:val="9"/>
              <w:rPr>
                <w:rFonts w:hint="eastAsia" w:ascii="宋体" w:hAnsi="宋体" w:eastAsia="宋体" w:cs="宋体"/>
                <w:color w:val="000000" w:themeColor="text1"/>
                <w:sz w:val="24"/>
                <w:highlight w:val="none"/>
                <w14:textFill>
                  <w14:solidFill>
                    <w14:schemeClr w14:val="tx1"/>
                  </w14:solidFill>
                </w14:textFill>
              </w:rPr>
            </w:pPr>
          </w:p>
          <w:p w14:paraId="7BA28C0B">
            <w:pPr>
              <w:pStyle w:val="576"/>
              <w:keepNext w:val="0"/>
              <w:keepLines w:val="0"/>
              <w:pageBreakBefore w:val="0"/>
              <w:widowControl w:val="0"/>
              <w:shd w:val="clear"/>
              <w:spacing w:line="360" w:lineRule="auto"/>
              <w:jc w:val="right"/>
              <w:outlineLvl w:val="9"/>
              <w:rPr>
                <w:rStyle w:val="652"/>
                <w:rFonts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签订日期：      年    月   日</w:t>
            </w:r>
          </w:p>
        </w:tc>
      </w:tr>
      <w:tr w14:paraId="00B6D77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8" w:type="dxa"/>
            <w:bottom w:w="100" w:type="dxa"/>
            <w:right w:w="108" w:type="dxa"/>
          </w:tblCellMar>
        </w:tblPrEx>
        <w:trPr>
          <w:trHeight w:val="3135" w:hRule="atLeast"/>
          <w:jc w:val="center"/>
        </w:trPr>
        <w:tc>
          <w:tcPr>
            <w:tcW w:w="5782" w:type="dxa"/>
            <w:noWrap w:val="0"/>
            <w:tcMar>
              <w:top w:w="100" w:type="dxa"/>
              <w:bottom w:w="100" w:type="dxa"/>
            </w:tcMar>
            <w:vAlign w:val="center"/>
          </w:tcPr>
          <w:p w14:paraId="29DB3B74">
            <w:pPr>
              <w:pStyle w:val="576"/>
              <w:keepNext w:val="0"/>
              <w:keepLines w:val="0"/>
              <w:pageBreakBefore w:val="0"/>
              <w:widowControl w:val="0"/>
              <w:shd w:val="clear"/>
              <w:spacing w:line="360" w:lineRule="auto"/>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代理机构：</w:t>
            </w:r>
            <w:r>
              <w:rPr>
                <w:rFonts w:hint="eastAsia" w:ascii="宋体" w:hAnsi="宋体" w:eastAsia="宋体" w:cs="宋体"/>
                <w:color w:val="000000" w:themeColor="text1"/>
                <w:sz w:val="24"/>
                <w:highlight w:val="none"/>
                <w:lang w:eastAsia="zh-CN"/>
                <w14:textFill>
                  <w14:solidFill>
                    <w14:schemeClr w14:val="tx1"/>
                  </w14:solidFill>
                </w14:textFill>
              </w:rPr>
              <w:t>江苏仁合中惠工程咨询有限公司</w:t>
            </w:r>
          </w:p>
          <w:p w14:paraId="12DF3B92">
            <w:pPr>
              <w:pStyle w:val="576"/>
              <w:keepNext w:val="0"/>
              <w:keepLines w:val="0"/>
              <w:pageBreakBefore w:val="0"/>
              <w:widowControl w:val="0"/>
              <w:shd w:val="clear"/>
              <w:spacing w:line="360" w:lineRule="auto"/>
              <w:jc w:val="left"/>
              <w:outlineLvl w:val="9"/>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地址：张家港市杨舍镇农联村委会门卫楼3F</w:t>
            </w:r>
          </w:p>
          <w:p w14:paraId="7915E503">
            <w:pPr>
              <w:pStyle w:val="576"/>
              <w:keepNext w:val="0"/>
              <w:keepLines w:val="0"/>
              <w:pageBreakBefore w:val="0"/>
              <w:widowControl w:val="0"/>
              <w:shd w:val="clear"/>
              <w:spacing w:line="360" w:lineRule="auto"/>
              <w:jc w:val="left"/>
              <w:outlineLvl w:val="9"/>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经办</w:t>
            </w:r>
            <w:r>
              <w:rPr>
                <w:rFonts w:hint="eastAsia" w:ascii="宋体" w:hAnsi="宋体" w:eastAsia="宋体" w:cs="宋体"/>
                <w:color w:val="000000" w:themeColor="text1"/>
                <w:sz w:val="24"/>
                <w:highlight w:val="none"/>
                <w14:textFill>
                  <w14:solidFill>
                    <w14:schemeClr w14:val="tx1"/>
                  </w14:solidFill>
                </w14:textFill>
              </w:rPr>
              <w:t>人：</w:t>
            </w:r>
            <w:r>
              <w:rPr>
                <w:rFonts w:hint="eastAsia" w:ascii="宋体" w:hAnsi="宋体" w:eastAsia="宋体" w:cs="宋体"/>
                <w:color w:val="000000" w:themeColor="text1"/>
                <w:sz w:val="24"/>
                <w:highlight w:val="none"/>
                <w:lang w:val="en-US" w:eastAsia="zh-CN"/>
                <w14:textFill>
                  <w14:solidFill>
                    <w14:schemeClr w14:val="tx1"/>
                  </w14:solidFill>
                </w14:textFill>
              </w:rPr>
              <w:t>赵明珠</w:t>
            </w:r>
          </w:p>
          <w:p w14:paraId="2D75715D">
            <w:pPr>
              <w:pStyle w:val="576"/>
              <w:keepNext w:val="0"/>
              <w:keepLines w:val="0"/>
              <w:pageBreakBefore w:val="0"/>
              <w:widowControl w:val="0"/>
              <w:shd w:val="clear"/>
              <w:spacing w:line="360" w:lineRule="auto"/>
              <w:jc w:val="left"/>
              <w:outlineLvl w:val="9"/>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w:t>
            </w:r>
            <w:r>
              <w:rPr>
                <w:rFonts w:hint="eastAsia" w:ascii="宋体" w:hAnsi="宋体" w:eastAsia="宋体" w:cs="宋体"/>
                <w:color w:val="000000" w:themeColor="text1"/>
                <w:sz w:val="24"/>
                <w:highlight w:val="none"/>
                <w:lang w:val="en-US" w:eastAsia="zh-CN"/>
                <w14:textFill>
                  <w14:solidFill>
                    <w14:schemeClr w14:val="tx1"/>
                  </w14:solidFill>
                </w14:textFill>
              </w:rPr>
              <w:t>13812868803</w:t>
            </w:r>
          </w:p>
        </w:tc>
        <w:tc>
          <w:tcPr>
            <w:tcW w:w="4465" w:type="dxa"/>
            <w:noWrap w:val="0"/>
            <w:tcMar>
              <w:top w:w="100" w:type="dxa"/>
              <w:bottom w:w="100" w:type="dxa"/>
            </w:tcMar>
            <w:vAlign w:val="center"/>
          </w:tcPr>
          <w:p w14:paraId="09F170DD">
            <w:pPr>
              <w:pStyle w:val="576"/>
              <w:keepNext w:val="0"/>
              <w:keepLines w:val="0"/>
              <w:pageBreakBefore w:val="0"/>
              <w:widowControl w:val="0"/>
              <w:shd w:val="clear"/>
              <w:spacing w:line="360" w:lineRule="auto"/>
              <w:jc w:val="both"/>
              <w:outlineLvl w:val="9"/>
              <w:rPr>
                <w:rFonts w:hint="eastAsia" w:ascii="宋体" w:hAnsi="宋体" w:eastAsia="宋体" w:cs="宋体"/>
                <w:color w:val="000000" w:themeColor="text1"/>
                <w:sz w:val="24"/>
                <w:highlight w:val="none"/>
                <w14:textFill>
                  <w14:solidFill>
                    <w14:schemeClr w14:val="tx1"/>
                  </w14:solidFill>
                </w14:textFill>
              </w:rPr>
            </w:pPr>
          </w:p>
        </w:tc>
      </w:tr>
      <w:tr w14:paraId="38F3CDE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8" w:type="dxa"/>
            <w:bottom w:w="100" w:type="dxa"/>
            <w:right w:w="108" w:type="dxa"/>
          </w:tblCellMar>
        </w:tblPrEx>
        <w:trPr>
          <w:trHeight w:val="1731" w:hRule="atLeast"/>
          <w:jc w:val="center"/>
        </w:trPr>
        <w:tc>
          <w:tcPr>
            <w:tcW w:w="5782" w:type="dxa"/>
            <w:noWrap w:val="0"/>
            <w:tcMar>
              <w:top w:w="100" w:type="dxa"/>
              <w:bottom w:w="100" w:type="dxa"/>
            </w:tcMar>
            <w:vAlign w:val="center"/>
          </w:tcPr>
          <w:p w14:paraId="46206EF5">
            <w:pPr>
              <w:pStyle w:val="576"/>
              <w:keepNext w:val="0"/>
              <w:keepLines w:val="0"/>
              <w:pageBreakBefore w:val="0"/>
              <w:widowControl w:val="0"/>
              <w:shd w:val="clear"/>
              <w:spacing w:line="360" w:lineRule="auto"/>
              <w:jc w:val="lef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备案：</w:t>
            </w:r>
            <w:r>
              <w:rPr>
                <w:rFonts w:hint="eastAsia" w:ascii="宋体" w:hAnsi="宋体" w:eastAsia="宋体" w:cs="宋体"/>
                <w:color w:val="000000" w:themeColor="text1"/>
                <w:sz w:val="24"/>
                <w:highlight w:val="none"/>
                <w14:textFill>
                  <w14:solidFill>
                    <w14:schemeClr w14:val="tx1"/>
                  </w14:solidFill>
                </w14:textFill>
              </w:rPr>
              <w:t>张家港市</w:t>
            </w:r>
            <w:r>
              <w:rPr>
                <w:rFonts w:hint="eastAsia" w:ascii="宋体" w:hAnsi="宋体" w:eastAsia="宋体" w:cs="宋体"/>
                <w:color w:val="000000" w:themeColor="text1"/>
                <w:sz w:val="24"/>
                <w:highlight w:val="none"/>
                <w:lang w:val="en-US" w:eastAsia="zh-CN"/>
                <w14:textFill>
                  <w14:solidFill>
                    <w14:schemeClr w14:val="tx1"/>
                  </w14:solidFill>
                </w14:textFill>
              </w:rPr>
              <w:t>政府采购管理中心</w:t>
            </w:r>
          </w:p>
        </w:tc>
        <w:tc>
          <w:tcPr>
            <w:tcW w:w="4465" w:type="dxa"/>
            <w:noWrap w:val="0"/>
            <w:tcMar>
              <w:top w:w="100" w:type="dxa"/>
              <w:bottom w:w="100" w:type="dxa"/>
            </w:tcMar>
            <w:vAlign w:val="center"/>
          </w:tcPr>
          <w:p w14:paraId="09326489">
            <w:pPr>
              <w:pStyle w:val="576"/>
              <w:keepNext w:val="0"/>
              <w:keepLines w:val="0"/>
              <w:pageBreakBefore w:val="0"/>
              <w:widowControl w:val="0"/>
              <w:shd w:val="clear"/>
              <w:spacing w:line="360" w:lineRule="auto"/>
              <w:jc w:val="both"/>
              <w:outlineLvl w:val="9"/>
              <w:rPr>
                <w:rFonts w:hint="eastAsia" w:ascii="宋体" w:hAnsi="宋体" w:eastAsia="宋体" w:cs="宋体"/>
                <w:color w:val="000000" w:themeColor="text1"/>
                <w:sz w:val="24"/>
                <w:highlight w:val="none"/>
                <w14:textFill>
                  <w14:solidFill>
                    <w14:schemeClr w14:val="tx1"/>
                  </w14:solidFill>
                </w14:textFill>
              </w:rPr>
            </w:pPr>
          </w:p>
        </w:tc>
      </w:tr>
    </w:tbl>
    <w:p w14:paraId="688C2B29">
      <w:pPr>
        <w:pStyle w:val="647"/>
        <w:shd w:val="clear"/>
        <w:spacing w:before="120" w:after="120" w:line="0" w:lineRule="atLeast"/>
        <w:jc w:val="right"/>
        <w:rPr>
          <w:rFonts w:ascii="黑体" w:eastAsia="黑体"/>
          <w:color w:val="000000" w:themeColor="text1"/>
          <w:sz w:val="24"/>
          <w:szCs w:val="24"/>
          <w:highlight w:val="none"/>
          <w14:textFill>
            <w14:solidFill>
              <w14:schemeClr w14:val="tx1"/>
            </w14:solidFill>
          </w14:textFill>
        </w:rPr>
      </w:pPr>
    </w:p>
    <w:p w14:paraId="1D10FB28">
      <w:pPr>
        <w:pStyle w:val="2"/>
        <w:shd w:val="clear"/>
        <w:jc w:val="center"/>
        <w:rPr>
          <w:rFonts w:hAnsi="宋体"/>
          <w:color w:val="000000" w:themeColor="text1"/>
          <w:sz w:val="24"/>
          <w:szCs w:val="24"/>
          <w:highlight w:val="none"/>
          <w14:textFill>
            <w14:solidFill>
              <w14:schemeClr w14:val="tx1"/>
            </w14:solidFill>
          </w14:textFill>
        </w:rPr>
      </w:pPr>
      <w:r>
        <w:rPr>
          <w:rFonts w:ascii="黑体" w:eastAsia="黑体"/>
          <w:bCs/>
          <w:color w:val="000000" w:themeColor="text1"/>
          <w:sz w:val="44"/>
          <w:highlight w:val="none"/>
          <w14:textFill>
            <w14:solidFill>
              <w14:schemeClr w14:val="tx1"/>
            </w14:solidFill>
          </w14:textFill>
        </w:rPr>
        <w:br w:type="page" w:clear="all"/>
      </w:r>
      <w:bookmarkStart w:id="169" w:name="_Toc29301"/>
      <w:r>
        <w:rPr>
          <w:rFonts w:hint="eastAsia" w:ascii="黑体" w:eastAsia="黑体"/>
          <w:bCs/>
          <w:color w:val="000000" w:themeColor="text1"/>
          <w:sz w:val="44"/>
          <w:highlight w:val="none"/>
          <w14:textFill>
            <w14:solidFill>
              <w14:schemeClr w14:val="tx1"/>
            </w14:solidFill>
          </w14:textFill>
        </w:rPr>
        <w:t>第</w:t>
      </w:r>
      <w:bookmarkEnd w:id="165"/>
      <w:r>
        <w:rPr>
          <w:rFonts w:hint="eastAsia" w:ascii="黑体" w:eastAsia="黑体"/>
          <w:bCs/>
          <w:color w:val="000000" w:themeColor="text1"/>
          <w:sz w:val="44"/>
          <w:highlight w:val="none"/>
          <w14:textFill>
            <w14:solidFill>
              <w14:schemeClr w14:val="tx1"/>
            </w14:solidFill>
          </w14:textFill>
        </w:rPr>
        <w:t xml:space="preserve">四章  </w:t>
      </w:r>
      <w:r>
        <w:rPr>
          <w:rFonts w:hint="eastAsia" w:ascii="黑体"/>
          <w:bCs/>
          <w:color w:val="000000" w:themeColor="text1"/>
          <w:sz w:val="44"/>
          <w:highlight w:val="none"/>
          <w:lang w:val="en-US" w:eastAsia="zh-CN"/>
          <w14:textFill>
            <w14:solidFill>
              <w14:schemeClr w14:val="tx1"/>
            </w14:solidFill>
          </w14:textFill>
        </w:rPr>
        <w:t>项目</w:t>
      </w:r>
      <w:r>
        <w:rPr>
          <w:rFonts w:hint="eastAsia" w:ascii="黑体" w:eastAsia="黑体"/>
          <w:bCs/>
          <w:color w:val="000000" w:themeColor="text1"/>
          <w:sz w:val="44"/>
          <w:highlight w:val="none"/>
          <w14:textFill>
            <w14:solidFill>
              <w14:schemeClr w14:val="tx1"/>
            </w14:solidFill>
          </w14:textFill>
        </w:rPr>
        <w:t>需求</w:t>
      </w:r>
      <w:bookmarkEnd w:id="166"/>
      <w:bookmarkEnd w:id="167"/>
      <w:bookmarkEnd w:id="168"/>
      <w:bookmarkEnd w:id="169"/>
    </w:p>
    <w:p w14:paraId="7446F8D6">
      <w:pPr>
        <w:pStyle w:val="3"/>
        <w:bidi w:val="0"/>
      </w:pPr>
      <w:bookmarkStart w:id="170" w:name="_Toc26554093"/>
      <w:bookmarkStart w:id="171" w:name="_Toc49090575"/>
      <w:r>
        <w:t>一、清单</w:t>
      </w:r>
    </w:p>
    <w:tbl>
      <w:tblPr>
        <w:tblStyle w:val="36"/>
        <w:tblW w:w="486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6"/>
        <w:gridCol w:w="2178"/>
        <w:gridCol w:w="1206"/>
        <w:gridCol w:w="1005"/>
        <w:gridCol w:w="1725"/>
        <w:gridCol w:w="2325"/>
      </w:tblGrid>
      <w:tr w14:paraId="5FB07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3C1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2B6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绿地名称</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0620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数量</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DE3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单位</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CE1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绿地类别</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53AB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备注</w:t>
            </w:r>
          </w:p>
        </w:tc>
      </w:tr>
      <w:tr w14:paraId="3F341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51C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5CA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工业区成片林</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2FD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19143</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C08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148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成片林地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FA578">
            <w:pPr>
              <w:jc w:val="center"/>
              <w:rPr>
                <w:rFonts w:hint="eastAsia" w:ascii="宋体" w:hAnsi="宋体" w:eastAsia="宋体" w:cs="宋体"/>
                <w:i w:val="0"/>
                <w:iCs w:val="0"/>
                <w:color w:val="000000"/>
                <w:kern w:val="0"/>
                <w:sz w:val="21"/>
                <w:szCs w:val="21"/>
                <w:highlight w:val="none"/>
                <w:u w:val="none"/>
                <w:lang w:val="en-US" w:eastAsia="zh-CN" w:bidi="ar"/>
              </w:rPr>
            </w:pPr>
          </w:p>
        </w:tc>
      </w:tr>
      <w:tr w14:paraId="516D5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vMerge w:val="restart"/>
            <w:tcBorders>
              <w:top w:val="single" w:color="000000" w:sz="4" w:space="0"/>
              <w:left w:val="single" w:color="000000" w:sz="4" w:space="0"/>
              <w:right w:val="single" w:color="000000" w:sz="4" w:space="0"/>
            </w:tcBorders>
            <w:shd w:val="clear" w:color="auto" w:fill="auto"/>
            <w:vAlign w:val="center"/>
          </w:tcPr>
          <w:p w14:paraId="639378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188" w:type="pct"/>
            <w:vMerge w:val="restart"/>
            <w:tcBorders>
              <w:top w:val="single" w:color="000000" w:sz="4" w:space="0"/>
              <w:left w:val="single" w:color="000000" w:sz="4" w:space="0"/>
              <w:right w:val="single" w:color="000000" w:sz="4" w:space="0"/>
            </w:tcBorders>
            <w:shd w:val="clear" w:color="auto" w:fill="auto"/>
            <w:vAlign w:val="center"/>
          </w:tcPr>
          <w:p w14:paraId="6E5497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管理区大院</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704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5200</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A87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770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6BB7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6A7A1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vMerge w:val="continue"/>
            <w:tcBorders>
              <w:left w:val="single" w:color="000000" w:sz="4" w:space="0"/>
              <w:bottom w:val="single" w:color="000000" w:sz="4" w:space="0"/>
              <w:right w:val="single" w:color="000000" w:sz="4" w:space="0"/>
            </w:tcBorders>
            <w:shd w:val="clear" w:color="auto" w:fill="auto"/>
            <w:vAlign w:val="center"/>
          </w:tcPr>
          <w:p w14:paraId="5AE9D7D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yellow"/>
                <w:u w:val="none"/>
                <w:lang w:val="en-US" w:eastAsia="zh-CN" w:bidi="ar"/>
              </w:rPr>
            </w:pPr>
          </w:p>
        </w:tc>
        <w:tc>
          <w:tcPr>
            <w:tcW w:w="1188" w:type="pct"/>
            <w:vMerge w:val="continue"/>
            <w:tcBorders>
              <w:left w:val="single" w:color="000000" w:sz="4" w:space="0"/>
              <w:bottom w:val="single" w:color="000000" w:sz="4" w:space="0"/>
              <w:right w:val="single" w:color="000000" w:sz="4" w:space="0"/>
            </w:tcBorders>
            <w:shd w:val="clear" w:color="auto" w:fill="auto"/>
            <w:vAlign w:val="center"/>
          </w:tcPr>
          <w:p w14:paraId="4E17D7D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yellow"/>
                <w:u w:val="none"/>
                <w:lang w:val="en-US" w:eastAsia="zh-CN" w:bidi="ar"/>
              </w:rPr>
            </w:pP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A8B76">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723EB">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项</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2278F">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绿化氛围布置</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310B9">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暂估不可竞争项</w:t>
            </w:r>
          </w:p>
        </w:tc>
      </w:tr>
      <w:tr w14:paraId="09F7A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121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F1B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街心公园</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786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8004</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26B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669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公园绿地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239F0">
            <w:pPr>
              <w:jc w:val="center"/>
              <w:rPr>
                <w:rFonts w:hint="eastAsia" w:ascii="宋体" w:hAnsi="宋体" w:eastAsia="宋体" w:cs="宋体"/>
                <w:i w:val="0"/>
                <w:iCs w:val="0"/>
                <w:color w:val="auto"/>
                <w:kern w:val="0"/>
                <w:sz w:val="21"/>
                <w:szCs w:val="21"/>
                <w:highlight w:val="none"/>
                <w:u w:val="none"/>
                <w:lang w:val="en-US" w:eastAsia="zh-CN" w:bidi="ar"/>
              </w:rPr>
            </w:pPr>
          </w:p>
        </w:tc>
      </w:tr>
      <w:tr w14:paraId="4248D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B2E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DEC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健康小区</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905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2500</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E92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107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C7196">
            <w:pPr>
              <w:jc w:val="center"/>
              <w:rPr>
                <w:rFonts w:hint="eastAsia" w:ascii="宋体" w:hAnsi="宋体" w:eastAsia="宋体" w:cs="宋体"/>
                <w:i w:val="0"/>
                <w:iCs w:val="0"/>
                <w:color w:val="000000"/>
                <w:kern w:val="0"/>
                <w:sz w:val="21"/>
                <w:szCs w:val="21"/>
                <w:highlight w:val="none"/>
                <w:u w:val="none"/>
                <w:lang w:val="en-US" w:eastAsia="zh-CN" w:bidi="ar"/>
              </w:rPr>
            </w:pPr>
          </w:p>
        </w:tc>
      </w:tr>
      <w:tr w14:paraId="41F2D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919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ED3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禾丰佳苑</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B36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33292</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8C1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61D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DF01D">
            <w:pPr>
              <w:jc w:val="center"/>
              <w:rPr>
                <w:rFonts w:hint="eastAsia" w:ascii="宋体" w:hAnsi="宋体" w:eastAsia="宋体" w:cs="宋体"/>
                <w:i w:val="0"/>
                <w:iCs w:val="0"/>
                <w:color w:val="000000"/>
                <w:kern w:val="0"/>
                <w:sz w:val="21"/>
                <w:szCs w:val="21"/>
                <w:highlight w:val="none"/>
                <w:u w:val="none"/>
                <w:lang w:val="en-US" w:eastAsia="zh-CN" w:bidi="ar"/>
              </w:rPr>
            </w:pPr>
          </w:p>
        </w:tc>
      </w:tr>
      <w:tr w14:paraId="3B3B5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9DD5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87E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农业综合服务中心</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4F9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5130</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3BE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168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01ADB">
            <w:pPr>
              <w:jc w:val="center"/>
              <w:rPr>
                <w:rFonts w:hint="eastAsia" w:ascii="宋体" w:hAnsi="宋体" w:eastAsia="宋体" w:cs="宋体"/>
                <w:i w:val="0"/>
                <w:iCs w:val="0"/>
                <w:color w:val="000000"/>
                <w:kern w:val="0"/>
                <w:sz w:val="21"/>
                <w:szCs w:val="21"/>
                <w:highlight w:val="none"/>
                <w:u w:val="none"/>
                <w:lang w:val="en-US" w:eastAsia="zh-CN" w:bidi="ar"/>
              </w:rPr>
            </w:pPr>
          </w:p>
        </w:tc>
      </w:tr>
      <w:tr w14:paraId="21ADE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E4F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CD1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迎宾路</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B1B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12987</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C58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4B8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6AD7D">
            <w:pPr>
              <w:jc w:val="center"/>
              <w:rPr>
                <w:rFonts w:hint="eastAsia" w:ascii="宋体" w:hAnsi="宋体" w:eastAsia="宋体" w:cs="宋体"/>
                <w:i w:val="0"/>
                <w:iCs w:val="0"/>
                <w:color w:val="000000"/>
                <w:kern w:val="0"/>
                <w:sz w:val="21"/>
                <w:szCs w:val="21"/>
                <w:highlight w:val="none"/>
                <w:u w:val="none"/>
                <w:lang w:val="en-US" w:eastAsia="zh-CN" w:bidi="ar"/>
              </w:rPr>
            </w:pPr>
          </w:p>
        </w:tc>
      </w:tr>
      <w:tr w14:paraId="2C339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B5E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57A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纵五路两侧与西侧片林</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B9B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15603</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635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BB1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成片林地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D3212">
            <w:pPr>
              <w:jc w:val="center"/>
              <w:rPr>
                <w:rFonts w:hint="eastAsia" w:ascii="宋体" w:hAnsi="宋体" w:eastAsia="宋体" w:cs="宋体"/>
                <w:i w:val="0"/>
                <w:iCs w:val="0"/>
                <w:color w:val="000000"/>
                <w:kern w:val="0"/>
                <w:sz w:val="21"/>
                <w:szCs w:val="21"/>
                <w:highlight w:val="none"/>
                <w:u w:val="none"/>
                <w:lang w:val="en-US" w:eastAsia="zh-CN" w:bidi="ar"/>
              </w:rPr>
            </w:pPr>
          </w:p>
        </w:tc>
      </w:tr>
      <w:tr w14:paraId="206B3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72A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D7D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永泰路两侧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6BD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37558</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2C8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71A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C13EE">
            <w:pPr>
              <w:jc w:val="center"/>
              <w:rPr>
                <w:rFonts w:hint="eastAsia" w:ascii="宋体" w:hAnsi="宋体" w:eastAsia="宋体" w:cs="宋体"/>
                <w:i w:val="0"/>
                <w:iCs w:val="0"/>
                <w:color w:val="000000"/>
                <w:kern w:val="0"/>
                <w:sz w:val="21"/>
                <w:szCs w:val="21"/>
                <w:highlight w:val="none"/>
                <w:u w:val="none"/>
                <w:lang w:val="en-US" w:eastAsia="zh-CN" w:bidi="ar"/>
              </w:rPr>
            </w:pPr>
          </w:p>
        </w:tc>
      </w:tr>
      <w:tr w14:paraId="4A734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3EA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F61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永泰路新路两侧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5CC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42737</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2C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7FE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7C9E3">
            <w:pPr>
              <w:jc w:val="center"/>
              <w:rPr>
                <w:rFonts w:hint="eastAsia" w:ascii="宋体" w:hAnsi="宋体" w:eastAsia="宋体" w:cs="宋体"/>
                <w:i w:val="0"/>
                <w:iCs w:val="0"/>
                <w:color w:val="000000"/>
                <w:kern w:val="0"/>
                <w:sz w:val="21"/>
                <w:szCs w:val="21"/>
                <w:highlight w:val="none"/>
                <w:u w:val="none"/>
                <w:lang w:val="en-US" w:eastAsia="zh-CN" w:bidi="ar"/>
              </w:rPr>
            </w:pPr>
          </w:p>
        </w:tc>
      </w:tr>
      <w:tr w14:paraId="785E9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E4C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8BE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港丰公路两侧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065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6942</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6FE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F37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6E8A1">
            <w:pPr>
              <w:jc w:val="center"/>
              <w:rPr>
                <w:rFonts w:hint="eastAsia" w:ascii="宋体" w:hAnsi="宋体" w:eastAsia="宋体" w:cs="宋体"/>
                <w:i w:val="0"/>
                <w:iCs w:val="0"/>
                <w:color w:val="000000"/>
                <w:kern w:val="0"/>
                <w:sz w:val="21"/>
                <w:szCs w:val="21"/>
                <w:highlight w:val="none"/>
                <w:u w:val="none"/>
                <w:lang w:val="en-US" w:eastAsia="zh-CN" w:bidi="ar"/>
              </w:rPr>
            </w:pPr>
          </w:p>
        </w:tc>
      </w:tr>
      <w:tr w14:paraId="49BA9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F6E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663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人民路两侧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909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10685</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0B4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1D9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75620">
            <w:pPr>
              <w:jc w:val="center"/>
              <w:rPr>
                <w:rFonts w:hint="eastAsia" w:ascii="宋体" w:hAnsi="宋体" w:eastAsia="宋体" w:cs="宋体"/>
                <w:i w:val="0"/>
                <w:iCs w:val="0"/>
                <w:color w:val="000000"/>
                <w:kern w:val="0"/>
                <w:sz w:val="21"/>
                <w:szCs w:val="21"/>
                <w:highlight w:val="none"/>
                <w:u w:val="none"/>
                <w:lang w:val="en-US" w:eastAsia="zh-CN" w:bidi="ar"/>
              </w:rPr>
            </w:pPr>
          </w:p>
        </w:tc>
      </w:tr>
      <w:tr w14:paraId="10108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6B8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623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人民路延伸段</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A16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386</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3AF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株</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2A1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行道树</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3E973">
            <w:pPr>
              <w:jc w:val="center"/>
              <w:rPr>
                <w:rFonts w:hint="eastAsia" w:ascii="宋体" w:hAnsi="宋体" w:eastAsia="宋体" w:cs="宋体"/>
                <w:i w:val="0"/>
                <w:iCs w:val="0"/>
                <w:color w:val="000000"/>
                <w:kern w:val="0"/>
                <w:sz w:val="21"/>
                <w:szCs w:val="21"/>
                <w:highlight w:val="none"/>
                <w:u w:val="none"/>
                <w:lang w:val="en-US" w:eastAsia="zh-CN" w:bidi="ar"/>
              </w:rPr>
            </w:pPr>
          </w:p>
        </w:tc>
      </w:tr>
      <w:tr w14:paraId="6D843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DD9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ED4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通运路两侧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6F7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36619</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2EF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A3D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B2BE9">
            <w:pPr>
              <w:jc w:val="center"/>
              <w:rPr>
                <w:rFonts w:hint="eastAsia" w:ascii="宋体" w:hAnsi="宋体" w:eastAsia="宋体" w:cs="宋体"/>
                <w:i w:val="0"/>
                <w:iCs w:val="0"/>
                <w:color w:val="000000"/>
                <w:kern w:val="0"/>
                <w:sz w:val="21"/>
                <w:szCs w:val="21"/>
                <w:highlight w:val="none"/>
                <w:u w:val="none"/>
                <w:lang w:val="en-US" w:eastAsia="zh-CN" w:bidi="ar"/>
              </w:rPr>
            </w:pPr>
          </w:p>
        </w:tc>
      </w:tr>
      <w:tr w14:paraId="620BC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1BD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132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沿江公路两侧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DF6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225445</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CE8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39A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B770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含红旗路至常沙路、常西3D艺术村段草花养护及草籽追播</w:t>
            </w:r>
          </w:p>
        </w:tc>
      </w:tr>
      <w:tr w14:paraId="3B5B6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9FF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DDA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通江路两侧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54B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33307</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1E0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9E0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8985C">
            <w:pPr>
              <w:jc w:val="center"/>
              <w:rPr>
                <w:rFonts w:hint="eastAsia" w:ascii="宋体" w:hAnsi="宋体" w:eastAsia="宋体" w:cs="宋体"/>
                <w:i w:val="0"/>
                <w:iCs w:val="0"/>
                <w:color w:val="000000"/>
                <w:kern w:val="0"/>
                <w:sz w:val="21"/>
                <w:szCs w:val="21"/>
                <w:highlight w:val="none"/>
                <w:u w:val="none"/>
                <w:lang w:val="en-US" w:eastAsia="zh-CN" w:bidi="ar"/>
              </w:rPr>
            </w:pPr>
          </w:p>
        </w:tc>
      </w:tr>
      <w:tr w14:paraId="67C6C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F91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AAF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红旗路两侧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526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30097</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6A9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7FF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E523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含节点及小游园绿地，农场河至沿江公路段含河对面养护</w:t>
            </w:r>
          </w:p>
        </w:tc>
      </w:tr>
      <w:tr w14:paraId="24EB3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A85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306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红旗中路、乐红路、建业路、鸿业路</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861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845</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946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株</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465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行道树</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02DD3">
            <w:pPr>
              <w:jc w:val="center"/>
              <w:rPr>
                <w:rFonts w:hint="eastAsia" w:ascii="宋体" w:hAnsi="宋体" w:eastAsia="宋体" w:cs="宋体"/>
                <w:i w:val="0"/>
                <w:iCs w:val="0"/>
                <w:color w:val="000000"/>
                <w:kern w:val="0"/>
                <w:sz w:val="21"/>
                <w:szCs w:val="21"/>
                <w:highlight w:val="none"/>
                <w:u w:val="none"/>
                <w:lang w:val="en-US" w:eastAsia="zh-CN" w:bidi="ar"/>
              </w:rPr>
            </w:pPr>
          </w:p>
        </w:tc>
      </w:tr>
      <w:tr w14:paraId="72DBF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CE9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D4A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珠江路两侧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11A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39706</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07A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B04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8C328">
            <w:pPr>
              <w:jc w:val="center"/>
              <w:rPr>
                <w:rFonts w:hint="eastAsia" w:ascii="宋体" w:hAnsi="宋体" w:eastAsia="宋体" w:cs="宋体"/>
                <w:i w:val="0"/>
                <w:iCs w:val="0"/>
                <w:color w:val="000000"/>
                <w:kern w:val="0"/>
                <w:sz w:val="21"/>
                <w:szCs w:val="21"/>
                <w:highlight w:val="none"/>
                <w:u w:val="none"/>
                <w:lang w:val="en-US" w:eastAsia="zh-CN" w:bidi="ar"/>
              </w:rPr>
            </w:pPr>
          </w:p>
        </w:tc>
      </w:tr>
      <w:tr w14:paraId="28E45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662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362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滨河路两侧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F5F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3602</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C98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31D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行道树及绿地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FEFA2">
            <w:pPr>
              <w:jc w:val="center"/>
              <w:rPr>
                <w:rFonts w:hint="eastAsia" w:ascii="宋体" w:hAnsi="宋体" w:eastAsia="宋体" w:cs="宋体"/>
                <w:i w:val="0"/>
                <w:iCs w:val="0"/>
                <w:color w:val="000000"/>
                <w:kern w:val="0"/>
                <w:sz w:val="21"/>
                <w:szCs w:val="21"/>
                <w:highlight w:val="none"/>
                <w:u w:val="none"/>
                <w:lang w:val="en-US" w:eastAsia="zh-CN" w:bidi="ar"/>
              </w:rPr>
            </w:pPr>
          </w:p>
        </w:tc>
      </w:tr>
      <w:tr w14:paraId="3FEEF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A2F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346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拥军路两侧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3C8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116428</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EA2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AD9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7B4A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含色块、片林、节点等</w:t>
            </w:r>
          </w:p>
        </w:tc>
      </w:tr>
      <w:tr w14:paraId="16109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9FA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AA5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常沙河、农场河节点</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E46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7424</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47D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2D1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84CAB">
            <w:pPr>
              <w:jc w:val="center"/>
              <w:rPr>
                <w:rFonts w:hint="eastAsia" w:ascii="宋体" w:hAnsi="宋体" w:eastAsia="宋体" w:cs="宋体"/>
                <w:i w:val="0"/>
                <w:iCs w:val="0"/>
                <w:color w:val="000000"/>
                <w:kern w:val="0"/>
                <w:sz w:val="21"/>
                <w:szCs w:val="21"/>
                <w:highlight w:val="none"/>
                <w:u w:val="none"/>
                <w:lang w:val="en-US" w:eastAsia="zh-CN" w:bidi="ar"/>
              </w:rPr>
            </w:pPr>
          </w:p>
        </w:tc>
      </w:tr>
      <w:tr w14:paraId="23A72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AF8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5E5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常青路两侧</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DA2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16042</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1B4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225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86DFC">
            <w:pPr>
              <w:jc w:val="center"/>
              <w:rPr>
                <w:rFonts w:hint="eastAsia" w:ascii="宋体" w:hAnsi="宋体" w:eastAsia="宋体" w:cs="宋体"/>
                <w:i w:val="0"/>
                <w:iCs w:val="0"/>
                <w:color w:val="000000"/>
                <w:kern w:val="0"/>
                <w:sz w:val="21"/>
                <w:szCs w:val="21"/>
                <w:highlight w:val="none"/>
                <w:u w:val="none"/>
                <w:lang w:val="en-US" w:eastAsia="zh-CN" w:bidi="ar"/>
              </w:rPr>
            </w:pPr>
          </w:p>
        </w:tc>
      </w:tr>
      <w:tr w14:paraId="04324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vMerge w:val="restart"/>
            <w:tcBorders>
              <w:top w:val="single" w:color="000000" w:sz="4" w:space="0"/>
              <w:left w:val="single" w:color="000000" w:sz="4" w:space="0"/>
              <w:right w:val="single" w:color="000000" w:sz="4" w:space="0"/>
            </w:tcBorders>
            <w:shd w:val="clear" w:color="auto" w:fill="auto"/>
            <w:vAlign w:val="center"/>
          </w:tcPr>
          <w:p w14:paraId="5E11D0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1188" w:type="pct"/>
            <w:vMerge w:val="restart"/>
            <w:tcBorders>
              <w:top w:val="single" w:color="000000" w:sz="4" w:space="0"/>
              <w:left w:val="single" w:color="000000" w:sz="4" w:space="0"/>
              <w:right w:val="single" w:color="000000" w:sz="4" w:space="0"/>
            </w:tcBorders>
            <w:shd w:val="clear" w:color="auto" w:fill="auto"/>
            <w:vAlign w:val="center"/>
          </w:tcPr>
          <w:p w14:paraId="0C279F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农创园</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F81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2000</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C26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5AC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景观绿化</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1C3D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含二楼绿化养护</w:t>
            </w:r>
          </w:p>
        </w:tc>
      </w:tr>
      <w:tr w14:paraId="0B70F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vMerge w:val="continue"/>
            <w:tcBorders>
              <w:left w:val="single" w:color="000000" w:sz="4" w:space="0"/>
              <w:bottom w:val="single" w:color="000000" w:sz="4" w:space="0"/>
              <w:right w:val="single" w:color="000000" w:sz="4" w:space="0"/>
            </w:tcBorders>
            <w:shd w:val="clear" w:color="auto" w:fill="auto"/>
            <w:vAlign w:val="center"/>
          </w:tcPr>
          <w:p w14:paraId="0921621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yellow"/>
                <w:u w:val="none"/>
                <w:lang w:val="en-US" w:eastAsia="zh-CN" w:bidi="ar"/>
              </w:rPr>
            </w:pPr>
          </w:p>
        </w:tc>
        <w:tc>
          <w:tcPr>
            <w:tcW w:w="1188" w:type="pct"/>
            <w:vMerge w:val="continue"/>
            <w:tcBorders>
              <w:left w:val="single" w:color="000000" w:sz="4" w:space="0"/>
              <w:bottom w:val="single" w:color="000000" w:sz="4" w:space="0"/>
              <w:right w:val="single" w:color="000000" w:sz="4" w:space="0"/>
            </w:tcBorders>
            <w:shd w:val="clear" w:color="auto" w:fill="auto"/>
            <w:vAlign w:val="center"/>
          </w:tcPr>
          <w:p w14:paraId="526C89B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yellow"/>
                <w:u w:val="none"/>
                <w:lang w:val="en-US" w:eastAsia="zh-CN" w:bidi="ar"/>
              </w:rPr>
            </w:pP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F2562">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1B7B5">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项</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34BD8">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绿化氛围布置</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DED731">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暂估不可竞争项</w:t>
            </w:r>
          </w:p>
        </w:tc>
      </w:tr>
      <w:tr w14:paraId="403FA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980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58D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客运中心</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AE0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7000</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D89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1AF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景观绿化</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17074">
            <w:pPr>
              <w:jc w:val="center"/>
              <w:rPr>
                <w:rFonts w:hint="eastAsia" w:ascii="宋体" w:hAnsi="宋体" w:eastAsia="宋体" w:cs="宋体"/>
                <w:i w:val="0"/>
                <w:iCs w:val="0"/>
                <w:color w:val="000000"/>
                <w:kern w:val="0"/>
                <w:sz w:val="21"/>
                <w:szCs w:val="21"/>
                <w:highlight w:val="none"/>
                <w:u w:val="none"/>
                <w:lang w:val="en-US" w:eastAsia="zh-CN" w:bidi="ar"/>
              </w:rPr>
            </w:pPr>
          </w:p>
        </w:tc>
      </w:tr>
      <w:tr w14:paraId="105E9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643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8DF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澳洋百花园</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644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232000</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371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64A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成片林地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D5EDC">
            <w:pPr>
              <w:jc w:val="center"/>
              <w:rPr>
                <w:rFonts w:hint="eastAsia" w:ascii="宋体" w:hAnsi="宋体" w:eastAsia="宋体" w:cs="宋体"/>
                <w:i w:val="0"/>
                <w:iCs w:val="0"/>
                <w:color w:val="000000"/>
                <w:kern w:val="0"/>
                <w:sz w:val="21"/>
                <w:szCs w:val="21"/>
                <w:highlight w:val="none"/>
                <w:u w:val="none"/>
                <w:lang w:val="en-US" w:eastAsia="zh-CN" w:bidi="ar"/>
              </w:rPr>
            </w:pPr>
          </w:p>
        </w:tc>
      </w:tr>
      <w:tr w14:paraId="2BC01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AFB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11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FDF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七干河边常沙苗圃</w:t>
            </w:r>
          </w:p>
        </w:tc>
        <w:tc>
          <w:tcPr>
            <w:tcW w:w="6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496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25503</w:t>
            </w:r>
          </w:p>
        </w:tc>
        <w:tc>
          <w:tcPr>
            <w:tcW w:w="5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6E2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平方米</w:t>
            </w:r>
          </w:p>
        </w:tc>
        <w:tc>
          <w:tcPr>
            <w:tcW w:w="9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298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成片林地</w:t>
            </w:r>
          </w:p>
        </w:tc>
        <w:tc>
          <w:tcPr>
            <w:tcW w:w="1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E3A98">
            <w:pPr>
              <w:jc w:val="center"/>
              <w:rPr>
                <w:rFonts w:hint="eastAsia" w:ascii="宋体" w:hAnsi="宋体" w:eastAsia="宋体" w:cs="宋体"/>
                <w:i w:val="0"/>
                <w:iCs w:val="0"/>
                <w:color w:val="000000"/>
                <w:kern w:val="0"/>
                <w:sz w:val="21"/>
                <w:szCs w:val="21"/>
                <w:highlight w:val="none"/>
                <w:u w:val="none"/>
                <w:lang w:val="en-US" w:eastAsia="zh-CN" w:bidi="ar"/>
              </w:rPr>
            </w:pPr>
          </w:p>
        </w:tc>
      </w:tr>
    </w:tbl>
    <w:p w14:paraId="53F44A04">
      <w:pPr>
        <w:pStyle w:val="65"/>
        <w:shd w:val="clear"/>
        <w:rPr>
          <w:color w:val="000000" w:themeColor="text1"/>
          <w:highlight w:val="none"/>
          <w14:textFill>
            <w14:solidFill>
              <w14:schemeClr w14:val="tx1"/>
            </w14:solidFill>
          </w14:textFill>
        </w:rPr>
      </w:pPr>
    </w:p>
    <w:p w14:paraId="4E1B7768">
      <w:pPr>
        <w:keepNext w:val="0"/>
        <w:keepLines w:val="0"/>
        <w:pageBreakBefore w:val="0"/>
        <w:widowControl w:val="0"/>
        <w:shd w:val="clear"/>
        <w:spacing w:line="360" w:lineRule="auto"/>
        <w:ind w:firstLine="420"/>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注：</w:t>
      </w:r>
    </w:p>
    <w:p w14:paraId="34967202">
      <w:pPr>
        <w:keepNext w:val="0"/>
        <w:keepLines w:val="0"/>
        <w:pageBreakBefore w:val="0"/>
        <w:widowControl w:val="0"/>
        <w:shd w:val="clear"/>
        <w:spacing w:line="360" w:lineRule="auto"/>
        <w:ind w:firstLine="420"/>
        <w:rPr>
          <w:rFonts w:hint="eastAsia" w:ascii="宋体" w:hAnsi="宋体" w:eastAsia="宋体" w:cs="宋体"/>
          <w:b/>
          <w:bCs/>
          <w:color w:val="000000" w:themeColor="text1"/>
          <w:sz w:val="24"/>
          <w:szCs w:val="28"/>
          <w:highlight w:val="none"/>
          <w:lang w:val="en-US" w:eastAsia="zh-CN"/>
          <w14:textFill>
            <w14:solidFill>
              <w14:schemeClr w14:val="tx1"/>
            </w14:solidFill>
          </w14:textFill>
        </w:rPr>
      </w:pPr>
      <w:r>
        <w:rPr>
          <w:rFonts w:hint="eastAsia" w:ascii="宋体" w:hAnsi="宋体" w:cs="宋体"/>
          <w:b/>
          <w:bCs/>
          <w:color w:val="000000" w:themeColor="text1"/>
          <w:sz w:val="24"/>
          <w:szCs w:val="28"/>
          <w:highlight w:val="none"/>
          <w:lang w:val="en-US" w:eastAsia="zh-CN"/>
          <w14:textFill>
            <w14:solidFill>
              <w14:schemeClr w14:val="tx1"/>
            </w14:solidFill>
          </w14:textFill>
        </w:rPr>
        <w:t>1、</w:t>
      </w:r>
      <w:r>
        <w:rPr>
          <w:rFonts w:hint="eastAsia" w:ascii="宋体" w:hAnsi="宋体" w:eastAsia="宋体" w:cs="宋体"/>
          <w:b/>
          <w:bCs/>
          <w:spacing w:val="-1"/>
          <w:sz w:val="24"/>
          <w:szCs w:val="24"/>
        </w:rPr>
        <w:t>项目所属行业：其他未列明行业</w:t>
      </w:r>
    </w:p>
    <w:p w14:paraId="1EA6FEE1">
      <w:pPr>
        <w:keepNext w:val="0"/>
        <w:keepLines w:val="0"/>
        <w:pageBreakBefore w:val="0"/>
        <w:widowControl w:val="0"/>
        <w:shd w:val="clear"/>
        <w:spacing w:line="360" w:lineRule="auto"/>
        <w:ind w:firstLine="420"/>
        <w:rPr>
          <w:rFonts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lang w:val="en-US" w:eastAsia="zh-CN"/>
          <w14:textFill>
            <w14:solidFill>
              <w14:schemeClr w14:val="tx1"/>
            </w14:solidFill>
          </w14:textFill>
        </w:rPr>
        <w:t>2、</w:t>
      </w:r>
      <w:r>
        <w:rPr>
          <w:rFonts w:hint="eastAsia" w:ascii="宋体" w:hAnsi="宋体" w:cs="宋体"/>
          <w:color w:val="000000" w:themeColor="text1"/>
          <w:sz w:val="24"/>
          <w:szCs w:val="28"/>
          <w:highlight w:val="none"/>
          <w14:textFill>
            <w14:solidFill>
              <w14:schemeClr w14:val="tx1"/>
            </w14:solidFill>
          </w14:textFill>
        </w:rPr>
        <w:t>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97CE6F4">
      <w:pPr>
        <w:pStyle w:val="3"/>
        <w:bidi w:val="0"/>
        <w:rPr>
          <w:color w:val="000000" w:themeColor="text1"/>
          <w:highlight w:val="none"/>
          <w14:textFill>
            <w14:solidFill>
              <w14:schemeClr w14:val="tx1"/>
            </w14:solidFill>
          </w14:textFill>
        </w:rPr>
      </w:pPr>
      <w:r>
        <w:rPr>
          <w:rFonts w:hint="eastAsia" w:ascii="黑体" w:eastAsia="黑体"/>
          <w:b/>
          <w:bCs/>
          <w:color w:val="000000" w:themeColor="text1"/>
          <w:sz w:val="44"/>
          <w:highlight w:val="none"/>
          <w14:textFill>
            <w14:solidFill>
              <w14:schemeClr w14:val="tx1"/>
            </w14:solidFill>
          </w14:textFill>
        </w:rPr>
        <w:br w:type="page" w:clear="all"/>
      </w:r>
      <w:r>
        <w:rPr>
          <w:rFonts w:ascii="宋体" w:hAnsi="宋体" w:cs="宋体"/>
          <w:b/>
          <w:color w:val="000000" w:themeColor="text1"/>
          <w:sz w:val="28"/>
          <w:highlight w:val="none"/>
          <w14:textFill>
            <w14:solidFill>
              <w14:schemeClr w14:val="tx1"/>
            </w14:solidFill>
          </w14:textFill>
        </w:rPr>
        <w:t>二、技术要求</w:t>
      </w:r>
    </w:p>
    <w:tbl>
      <w:tblPr>
        <w:tblStyle w:val="36"/>
        <w:tblW w:w="53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82"/>
        <w:gridCol w:w="1699"/>
        <w:gridCol w:w="2415"/>
        <w:gridCol w:w="4125"/>
      </w:tblGrid>
      <w:tr w14:paraId="6A95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527450">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color w:val="auto"/>
                <w:sz w:val="24"/>
                <w:szCs w:val="24"/>
                <w:highlight w:val="none"/>
              </w:rPr>
            </w:pPr>
            <w:r>
              <w:rPr>
                <w:rStyle w:val="38"/>
                <w:rFonts w:hint="eastAsia" w:ascii="宋体" w:hAnsi="宋体" w:eastAsia="宋体" w:cs="宋体"/>
                <w:b w:val="0"/>
                <w:color w:val="auto"/>
                <w:sz w:val="24"/>
                <w:szCs w:val="24"/>
                <w:highlight w:val="none"/>
              </w:rPr>
              <w:t>序号</w:t>
            </w:r>
          </w:p>
        </w:tc>
        <w:tc>
          <w:tcPr>
            <w:tcW w:w="6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A55A6E">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color w:val="auto"/>
                <w:sz w:val="24"/>
                <w:szCs w:val="24"/>
                <w:highlight w:val="none"/>
              </w:rPr>
            </w:pPr>
            <w:r>
              <w:rPr>
                <w:rStyle w:val="38"/>
                <w:rFonts w:hint="eastAsia" w:ascii="宋体" w:hAnsi="宋体" w:eastAsia="宋体" w:cs="宋体"/>
                <w:b w:val="0"/>
                <w:color w:val="auto"/>
                <w:sz w:val="24"/>
                <w:szCs w:val="24"/>
                <w:highlight w:val="none"/>
              </w:rPr>
              <w:t>名称</w:t>
            </w:r>
          </w:p>
        </w:tc>
        <w:tc>
          <w:tcPr>
            <w:tcW w:w="4059"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F75562">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color w:val="auto"/>
                <w:sz w:val="24"/>
                <w:szCs w:val="24"/>
                <w:highlight w:val="none"/>
              </w:rPr>
            </w:pPr>
            <w:r>
              <w:rPr>
                <w:rStyle w:val="38"/>
                <w:rFonts w:hint="eastAsia" w:ascii="宋体" w:hAnsi="宋体" w:eastAsia="宋体" w:cs="宋体"/>
                <w:b w:val="0"/>
                <w:color w:val="auto"/>
                <w:sz w:val="24"/>
                <w:szCs w:val="24"/>
                <w:highlight w:val="none"/>
              </w:rPr>
              <w:t>内容</w:t>
            </w:r>
          </w:p>
        </w:tc>
      </w:tr>
      <w:tr w14:paraId="151E7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FED158">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r>
              <w:rPr>
                <w:rStyle w:val="38"/>
                <w:rFonts w:hint="eastAsia" w:ascii="宋体" w:hAnsi="宋体" w:eastAsia="宋体" w:cs="宋体"/>
                <w:b w:val="0"/>
                <w:i w:val="0"/>
                <w:color w:val="auto"/>
                <w:sz w:val="24"/>
                <w:szCs w:val="24"/>
                <w:highlight w:val="none"/>
                <w:u w:val="none"/>
              </w:rPr>
              <w:t>1</w:t>
            </w:r>
          </w:p>
        </w:tc>
        <w:tc>
          <w:tcPr>
            <w:tcW w:w="6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CD0422">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r>
              <w:rPr>
                <w:rStyle w:val="38"/>
                <w:rFonts w:hint="eastAsia" w:ascii="宋体" w:hAnsi="宋体" w:eastAsia="宋体" w:cs="宋体"/>
                <w:b w:val="0"/>
                <w:i w:val="0"/>
                <w:color w:val="auto"/>
                <w:sz w:val="24"/>
                <w:szCs w:val="24"/>
                <w:highlight w:val="none"/>
                <w:u w:val="none"/>
              </w:rPr>
              <w:t>项目概况</w:t>
            </w:r>
          </w:p>
        </w:tc>
        <w:tc>
          <w:tcPr>
            <w:tcW w:w="4059"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8D5F6C">
            <w:pPr>
              <w:pStyle w:val="581"/>
              <w:keepNext w:val="0"/>
              <w:keepLines w:val="0"/>
              <w:pageBreakBefore w:val="0"/>
              <w:widowControl/>
              <w:shd w:val="clear"/>
              <w:tabs>
                <w:tab w:val="left" w:pos="7360"/>
              </w:tabs>
              <w:kinsoku/>
              <w:wordWrap/>
              <w:overflowPunct/>
              <w:topLinePunct w:val="0"/>
              <w:autoSpaceDE/>
              <w:autoSpaceDN/>
              <w:bidi w:val="0"/>
              <w:adjustRightInd/>
              <w:snapToGrid/>
              <w:ind w:right="-71" w:rightChars="-34"/>
              <w:jc w:val="left"/>
              <w:textAlignment w:val="auto"/>
              <w:rPr>
                <w:rStyle w:val="38"/>
                <w:rFonts w:hint="eastAsia" w:ascii="宋体" w:hAnsi="宋体" w:eastAsia="宋体" w:cs="宋体"/>
                <w:b w:val="0"/>
                <w:i w:val="0"/>
                <w:color w:val="auto"/>
                <w:sz w:val="24"/>
                <w:szCs w:val="24"/>
                <w:highlight w:val="none"/>
                <w:u w:val="none"/>
              </w:rPr>
            </w:pPr>
            <w:r>
              <w:rPr>
                <w:rStyle w:val="38"/>
                <w:rFonts w:hint="eastAsia" w:ascii="宋体" w:hAnsi="宋体" w:eastAsia="宋体" w:cs="宋体"/>
                <w:b w:val="0"/>
                <w:i w:val="0"/>
                <w:color w:val="auto"/>
                <w:sz w:val="24"/>
                <w:szCs w:val="24"/>
                <w:highlight w:val="none"/>
                <w:u w:val="none"/>
              </w:rPr>
              <w:t>本次招标</w:t>
            </w:r>
            <w:r>
              <w:rPr>
                <w:rStyle w:val="38"/>
                <w:rFonts w:hint="eastAsia" w:ascii="宋体" w:hAnsi="宋体" w:eastAsia="宋体" w:cs="宋体"/>
                <w:b w:val="0"/>
                <w:i w:val="0"/>
                <w:color w:val="auto"/>
                <w:sz w:val="24"/>
                <w:szCs w:val="24"/>
                <w:highlight w:val="none"/>
                <w:u w:val="none"/>
                <w:lang w:val="en-US" w:eastAsia="zh-CN"/>
              </w:rPr>
              <w:t>标的为</w:t>
            </w:r>
            <w:r>
              <w:rPr>
                <w:rFonts w:hint="eastAsia" w:ascii="宋体" w:hAnsi="宋体" w:eastAsia="宋体" w:cs="宋体"/>
                <w:color w:val="auto"/>
                <w:sz w:val="24"/>
                <w:szCs w:val="24"/>
                <w:highlight w:val="none"/>
                <w:shd w:val="clear" w:color="auto" w:fill="FFFFFF"/>
                <w:lang w:eastAsia="zh-CN"/>
              </w:rPr>
              <w:t>张家港市常阴沙现代农业示范园区2026-2027年度常阴沙镇级绿化养护服务。</w:t>
            </w:r>
            <w:r>
              <w:rPr>
                <w:rFonts w:hint="eastAsia" w:ascii="宋体" w:hAnsi="宋体" w:eastAsia="宋体" w:cs="宋体"/>
                <w:color w:val="auto"/>
                <w:sz w:val="24"/>
                <w:szCs w:val="24"/>
                <w:highlight w:val="none"/>
                <w:shd w:val="clear" w:color="auto" w:fill="FFFFFF"/>
                <w:lang w:val="en-US" w:eastAsia="zh-CN"/>
              </w:rPr>
              <w:t>主要针对</w:t>
            </w:r>
            <w:r>
              <w:rPr>
                <w:rStyle w:val="38"/>
                <w:rFonts w:hint="eastAsia" w:ascii="宋体" w:hAnsi="宋体" w:eastAsia="宋体" w:cs="宋体"/>
                <w:b w:val="0"/>
                <w:i w:val="0"/>
                <w:color w:val="auto"/>
                <w:sz w:val="24"/>
                <w:szCs w:val="24"/>
                <w:highlight w:val="none"/>
                <w:u w:val="none"/>
                <w:lang w:eastAsia="zh-CN"/>
              </w:rPr>
              <w:t>常阴沙现代农业示范</w:t>
            </w:r>
            <w:r>
              <w:rPr>
                <w:rStyle w:val="38"/>
                <w:rFonts w:hint="eastAsia" w:ascii="宋体" w:hAnsi="宋体" w:eastAsia="宋体" w:cs="宋体"/>
                <w:b w:val="0"/>
                <w:i w:val="0"/>
                <w:color w:val="auto"/>
                <w:sz w:val="24"/>
                <w:szCs w:val="24"/>
                <w:highlight w:val="none"/>
                <w:u w:val="none"/>
                <w:lang w:val="en-US" w:eastAsia="zh-CN"/>
              </w:rPr>
              <w:t>园区范围内各主要道路、镇级公园节点等实施绿化养护服务，服务总绿地面积约为977954㎡。</w:t>
            </w:r>
          </w:p>
        </w:tc>
      </w:tr>
      <w:tr w14:paraId="606C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2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058F54">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r>
              <w:rPr>
                <w:rStyle w:val="38"/>
                <w:rFonts w:hint="eastAsia" w:ascii="宋体" w:hAnsi="宋体" w:eastAsia="宋体" w:cs="宋体"/>
                <w:b w:val="0"/>
                <w:i w:val="0"/>
                <w:color w:val="auto"/>
                <w:sz w:val="24"/>
                <w:szCs w:val="24"/>
                <w:highlight w:val="none"/>
                <w:u w:val="none"/>
              </w:rPr>
              <w:t>2</w:t>
            </w:r>
          </w:p>
        </w:tc>
        <w:tc>
          <w:tcPr>
            <w:tcW w:w="6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8B75E5">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eastAsia="zh-CN"/>
              </w:rPr>
            </w:pPr>
            <w:r>
              <w:rPr>
                <w:rStyle w:val="38"/>
                <w:rFonts w:hint="eastAsia" w:ascii="宋体" w:hAnsi="宋体" w:eastAsia="宋体" w:cs="宋体"/>
                <w:b w:val="0"/>
                <w:i w:val="0"/>
                <w:color w:val="auto"/>
                <w:sz w:val="24"/>
                <w:szCs w:val="24"/>
                <w:highlight w:val="none"/>
                <w:u w:val="none"/>
              </w:rPr>
              <w:t>服务</w:t>
            </w:r>
            <w:r>
              <w:rPr>
                <w:rStyle w:val="38"/>
                <w:rFonts w:hint="eastAsia" w:ascii="宋体" w:hAnsi="宋体" w:eastAsia="宋体" w:cs="宋体"/>
                <w:b w:val="0"/>
                <w:i w:val="0"/>
                <w:color w:val="auto"/>
                <w:sz w:val="24"/>
                <w:szCs w:val="24"/>
                <w:highlight w:val="none"/>
                <w:u w:val="none"/>
                <w:lang w:val="en-US" w:eastAsia="zh-CN"/>
              </w:rPr>
              <w:t>范围</w:t>
            </w:r>
          </w:p>
        </w:tc>
        <w:tc>
          <w:tcPr>
            <w:tcW w:w="4059"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23D625">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主要包括修剪、剥芽、病虫害防治、施肥、灌溉、抗旱、排涝、树穴切边、挑除杂草、轧草修边、草屑清除、保洁、清枯枝及死膀、枯死树处理、加工扶正、环境清理等。</w:t>
            </w:r>
            <w:r>
              <w:rPr>
                <w:rFonts w:hint="eastAsia" w:ascii="宋体" w:hAnsi="宋体" w:eastAsia="宋体" w:cs="宋体"/>
                <w:color w:val="auto"/>
                <w:spacing w:val="-1"/>
                <w:sz w:val="24"/>
                <w:szCs w:val="24"/>
                <w:highlight w:val="none"/>
                <w:lang w:val="en-US" w:eastAsia="zh-CN"/>
              </w:rPr>
              <w:t>养护地块内凡含草坪地块冬季需追播黑麦草。养护时间内100%包存活（非养护因素造成的苗木死亡除外）。</w:t>
            </w:r>
          </w:p>
        </w:tc>
      </w:tr>
      <w:tr w14:paraId="7B698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4CD1DB1D">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3</w:t>
            </w:r>
          </w:p>
        </w:tc>
        <w:tc>
          <w:tcPr>
            <w:tcW w:w="681"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33B579C0">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养护内容及要求</w:t>
            </w: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917464A">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center"/>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6"/>
                <w:sz w:val="24"/>
                <w:szCs w:val="24"/>
                <w:highlight w:val="none"/>
              </w:rPr>
              <w:t>绿地、林地环境维护</w:t>
            </w:r>
          </w:p>
        </w:tc>
        <w:tc>
          <w:tcPr>
            <w:tcW w:w="3222" w:type="pct"/>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31E153">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及时清理绿地内各种杂物（建筑垃圾、蔬菜棚架、修剪垃圾、陈旧</w:t>
            </w:r>
            <w:r>
              <w:rPr>
                <w:rFonts w:hint="eastAsia" w:ascii="宋体" w:hAnsi="宋体" w:eastAsia="宋体" w:cs="宋体"/>
                <w:color w:val="auto"/>
                <w:spacing w:val="-8"/>
                <w:sz w:val="24"/>
                <w:szCs w:val="24"/>
                <w:highlight w:val="none"/>
              </w:rPr>
              <w:t>落叶、树体藤蔓等</w:t>
            </w:r>
            <w:r>
              <w:rPr>
                <w:rFonts w:hint="eastAsia" w:ascii="宋体" w:hAnsi="宋体" w:eastAsia="宋体" w:cs="宋体"/>
                <w:color w:val="auto"/>
                <w:spacing w:val="-5"/>
                <w:sz w:val="24"/>
                <w:szCs w:val="24"/>
                <w:highlight w:val="none"/>
              </w:rPr>
              <w:t>），</w:t>
            </w:r>
            <w:r>
              <w:rPr>
                <w:rFonts w:hint="eastAsia" w:ascii="宋体" w:hAnsi="宋体" w:eastAsia="宋体" w:cs="宋体"/>
                <w:color w:val="auto"/>
                <w:spacing w:val="-8"/>
                <w:sz w:val="24"/>
                <w:szCs w:val="24"/>
                <w:highlight w:val="none"/>
              </w:rPr>
              <w:t>无养护死角；</w:t>
            </w:r>
          </w:p>
          <w:p w14:paraId="1CB09610">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2.</w:t>
            </w:r>
            <w:r>
              <w:rPr>
                <w:rFonts w:hint="eastAsia" w:ascii="宋体" w:hAnsi="宋体" w:eastAsia="宋体" w:cs="宋体"/>
                <w:color w:val="auto"/>
                <w:spacing w:val="-8"/>
                <w:sz w:val="24"/>
                <w:szCs w:val="24"/>
                <w:highlight w:val="none"/>
              </w:rPr>
              <w:t>树木、草坪修剪后草坪屑、树</w:t>
            </w:r>
            <w:r>
              <w:rPr>
                <w:rFonts w:hint="eastAsia" w:ascii="宋体" w:hAnsi="宋体" w:eastAsia="宋体" w:cs="宋体"/>
                <w:color w:val="auto"/>
                <w:spacing w:val="-3"/>
                <w:sz w:val="24"/>
                <w:szCs w:val="24"/>
                <w:highlight w:val="none"/>
              </w:rPr>
              <w:t>枝等及时清运不过夜，不乱丢乱抛</w:t>
            </w:r>
            <w:r>
              <w:rPr>
                <w:rFonts w:hint="eastAsia" w:ascii="宋体" w:hAnsi="宋体" w:eastAsia="宋体" w:cs="宋体"/>
                <w:color w:val="auto"/>
                <w:spacing w:val="-8"/>
                <w:sz w:val="24"/>
                <w:szCs w:val="24"/>
                <w:highlight w:val="none"/>
              </w:rPr>
              <w:t>；</w:t>
            </w:r>
          </w:p>
          <w:p w14:paraId="77E8F42C">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3"/>
                <w:sz w:val="24"/>
                <w:szCs w:val="24"/>
                <w:highlight w:val="none"/>
                <w:lang w:val="en-US" w:eastAsia="zh-CN"/>
              </w:rPr>
              <w:t>3.</w:t>
            </w:r>
            <w:r>
              <w:rPr>
                <w:rFonts w:hint="eastAsia" w:ascii="宋体" w:hAnsi="宋体" w:eastAsia="宋体" w:cs="宋体"/>
                <w:color w:val="auto"/>
                <w:spacing w:val="-3"/>
                <w:sz w:val="24"/>
                <w:szCs w:val="24"/>
                <w:highlight w:val="none"/>
              </w:rPr>
              <w:t>绿地内河塘水草春夏季节需清理打捞，水上草（如绿萍等）无大面积蔓延、水下草定期清理，保</w:t>
            </w:r>
            <w:r>
              <w:rPr>
                <w:rFonts w:hint="eastAsia" w:ascii="宋体" w:hAnsi="宋体" w:eastAsia="宋体" w:cs="宋体"/>
                <w:color w:val="auto"/>
                <w:spacing w:val="-4"/>
                <w:sz w:val="24"/>
                <w:szCs w:val="24"/>
                <w:highlight w:val="none"/>
              </w:rPr>
              <w:t>持水面清洁，维护绿地环境。</w:t>
            </w:r>
          </w:p>
        </w:tc>
      </w:tr>
      <w:tr w14:paraId="5452C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259" w:type="pct"/>
            <w:vMerge w:val="continue"/>
            <w:tcBorders>
              <w:left w:val="single" w:color="000000" w:sz="2" w:space="0"/>
              <w:right w:val="single" w:color="000000" w:sz="2" w:space="0"/>
            </w:tcBorders>
            <w:noWrap w:val="0"/>
            <w:tcMar>
              <w:top w:w="100" w:type="dxa"/>
              <w:bottom w:w="100" w:type="dxa"/>
            </w:tcMar>
            <w:vAlign w:val="center"/>
          </w:tcPr>
          <w:p w14:paraId="359654B3">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681" w:type="pct"/>
            <w:vMerge w:val="continue"/>
            <w:tcBorders>
              <w:left w:val="single" w:color="000000" w:sz="2" w:space="0"/>
              <w:right w:val="single" w:color="000000" w:sz="2" w:space="0"/>
            </w:tcBorders>
            <w:noWrap w:val="0"/>
            <w:tcMar>
              <w:top w:w="100" w:type="dxa"/>
              <w:bottom w:w="100" w:type="dxa"/>
            </w:tcMar>
            <w:vAlign w:val="center"/>
          </w:tcPr>
          <w:p w14:paraId="10F4AA0F">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C2E5B83">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center"/>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9"/>
                <w:sz w:val="24"/>
                <w:szCs w:val="24"/>
                <w:highlight w:val="none"/>
              </w:rPr>
              <w:t>松土除草</w:t>
            </w:r>
          </w:p>
        </w:tc>
        <w:tc>
          <w:tcPr>
            <w:tcW w:w="3222" w:type="pct"/>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6B673B">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2"/>
                <w:sz w:val="24"/>
                <w:szCs w:val="24"/>
                <w:highlight w:val="none"/>
                <w:lang w:val="en-US" w:eastAsia="zh-CN"/>
              </w:rPr>
              <w:t>1.</w:t>
            </w:r>
            <w:r>
              <w:rPr>
                <w:rFonts w:hint="eastAsia" w:ascii="宋体" w:hAnsi="宋体" w:eastAsia="宋体" w:cs="宋体"/>
                <w:color w:val="auto"/>
                <w:spacing w:val="-2"/>
                <w:sz w:val="24"/>
                <w:szCs w:val="24"/>
                <w:highlight w:val="none"/>
              </w:rPr>
              <w:t>绿地、林地及时松土除杂草，生长季节（4</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2"/>
                <w:sz w:val="24"/>
                <w:szCs w:val="24"/>
                <w:highlight w:val="none"/>
              </w:rPr>
              <w:t>月-10</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2"/>
                <w:sz w:val="24"/>
                <w:szCs w:val="24"/>
                <w:highlight w:val="none"/>
              </w:rPr>
              <w:t>月）保持土壤疏</w:t>
            </w:r>
            <w:r>
              <w:rPr>
                <w:rFonts w:hint="eastAsia" w:ascii="宋体" w:hAnsi="宋体" w:eastAsia="宋体" w:cs="宋体"/>
                <w:color w:val="auto"/>
                <w:spacing w:val="-6"/>
                <w:sz w:val="24"/>
                <w:szCs w:val="24"/>
                <w:highlight w:val="none"/>
              </w:rPr>
              <w:t>松，冬季（11</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6"/>
                <w:sz w:val="24"/>
                <w:szCs w:val="24"/>
                <w:highlight w:val="none"/>
              </w:rPr>
              <w:t>月-次年</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6"/>
                <w:sz w:val="24"/>
                <w:szCs w:val="24"/>
                <w:highlight w:val="none"/>
              </w:rPr>
              <w:t>月）林下统一进行</w:t>
            </w:r>
            <w:r>
              <w:rPr>
                <w:rFonts w:hint="eastAsia" w:ascii="宋体" w:hAnsi="宋体" w:eastAsia="宋体" w:cs="宋体"/>
                <w:color w:val="auto"/>
                <w:spacing w:val="-7"/>
                <w:sz w:val="24"/>
                <w:szCs w:val="24"/>
                <w:highlight w:val="none"/>
              </w:rPr>
              <w:t>翻耕，深度20cm</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7"/>
                <w:sz w:val="24"/>
                <w:szCs w:val="24"/>
                <w:highlight w:val="none"/>
              </w:rPr>
              <w:t>左右，</w:t>
            </w:r>
            <w:r>
              <w:rPr>
                <w:rFonts w:hint="eastAsia" w:ascii="宋体" w:hAnsi="宋体" w:eastAsia="宋体" w:cs="宋体"/>
                <w:color w:val="auto"/>
                <w:spacing w:val="-3"/>
                <w:sz w:val="24"/>
                <w:szCs w:val="24"/>
                <w:highlight w:val="none"/>
              </w:rPr>
              <w:t>与树杆保持一定距离，不伤根系</w:t>
            </w:r>
            <w:r>
              <w:rPr>
                <w:rFonts w:hint="eastAsia" w:ascii="宋体" w:hAnsi="宋体" w:eastAsia="宋体" w:cs="宋体"/>
                <w:color w:val="auto"/>
                <w:spacing w:val="-3"/>
                <w:sz w:val="24"/>
                <w:szCs w:val="24"/>
                <w:highlight w:val="none"/>
                <w:lang w:val="en-US" w:eastAsia="zh-CN"/>
              </w:rPr>
              <w:t>；</w:t>
            </w:r>
          </w:p>
          <w:p w14:paraId="72A135D4">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3"/>
                <w:sz w:val="24"/>
                <w:szCs w:val="24"/>
                <w:highlight w:val="none"/>
                <w:lang w:val="en-US" w:eastAsia="zh-CN"/>
              </w:rPr>
              <w:t>2.</w:t>
            </w:r>
            <w:r>
              <w:rPr>
                <w:rFonts w:hint="eastAsia" w:ascii="宋体" w:hAnsi="宋体" w:eastAsia="宋体" w:cs="宋体"/>
                <w:color w:val="auto"/>
                <w:spacing w:val="-3"/>
                <w:sz w:val="24"/>
                <w:szCs w:val="24"/>
                <w:highlight w:val="none"/>
              </w:rPr>
              <w:t>草坪内树穴与色块、绿篱及时切</w:t>
            </w:r>
            <w:r>
              <w:rPr>
                <w:rFonts w:hint="eastAsia" w:ascii="宋体" w:hAnsi="宋体" w:eastAsia="宋体" w:cs="宋体"/>
                <w:color w:val="auto"/>
                <w:spacing w:val="-1"/>
                <w:sz w:val="24"/>
                <w:szCs w:val="24"/>
                <w:highlight w:val="none"/>
              </w:rPr>
              <w:t>边，草坪与树木、色块、地被等应有分隔沟，宽度不超过</w:t>
            </w:r>
            <w:r>
              <w:rPr>
                <w:rFonts w:hint="eastAsia" w:ascii="宋体" w:hAnsi="宋体" w:eastAsia="宋体" w:cs="宋体"/>
                <w:color w:val="auto"/>
                <w:spacing w:val="-38"/>
                <w:sz w:val="24"/>
                <w:szCs w:val="24"/>
                <w:highlight w:val="none"/>
              </w:rPr>
              <w:t xml:space="preserve"> </w:t>
            </w:r>
            <w:r>
              <w:rPr>
                <w:rFonts w:hint="eastAsia" w:ascii="宋体" w:hAnsi="宋体" w:eastAsia="宋体" w:cs="宋体"/>
                <w:color w:val="auto"/>
                <w:spacing w:val="-1"/>
                <w:sz w:val="24"/>
                <w:szCs w:val="24"/>
                <w:highlight w:val="none"/>
              </w:rPr>
              <w:t>25cm。</w:t>
            </w:r>
          </w:p>
        </w:tc>
      </w:tr>
      <w:tr w14:paraId="58436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vMerge w:val="continue"/>
            <w:tcBorders>
              <w:left w:val="single" w:color="000000" w:sz="2" w:space="0"/>
              <w:right w:val="single" w:color="000000" w:sz="2" w:space="0"/>
            </w:tcBorders>
            <w:noWrap w:val="0"/>
            <w:tcMar>
              <w:top w:w="100" w:type="dxa"/>
              <w:bottom w:w="100" w:type="dxa"/>
            </w:tcMar>
            <w:vAlign w:val="center"/>
          </w:tcPr>
          <w:p w14:paraId="4882140B">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681" w:type="pct"/>
            <w:vMerge w:val="continue"/>
            <w:tcBorders>
              <w:left w:val="single" w:color="000000" w:sz="2" w:space="0"/>
              <w:right w:val="single" w:color="000000" w:sz="2" w:space="0"/>
            </w:tcBorders>
            <w:noWrap w:val="0"/>
            <w:tcMar>
              <w:top w:w="100" w:type="dxa"/>
              <w:bottom w:w="100" w:type="dxa"/>
            </w:tcMar>
            <w:vAlign w:val="center"/>
          </w:tcPr>
          <w:p w14:paraId="194EAC7E">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9ADC7F">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center"/>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9"/>
                <w:sz w:val="24"/>
                <w:szCs w:val="24"/>
                <w:highlight w:val="none"/>
              </w:rPr>
              <w:t>浇灌排水</w:t>
            </w:r>
          </w:p>
        </w:tc>
        <w:tc>
          <w:tcPr>
            <w:tcW w:w="3222" w:type="pct"/>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FCA80F">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根据实际，对绿地、林地树木及草坪进行适时适量浇水、喷水，及时抗旱排涝，确保植物正常生长（夏秋季节连续两周无降雨必须启动抗旱应急预案，确保各类植物无干旱致死情况发生）</w:t>
            </w:r>
            <w:r>
              <w:rPr>
                <w:rFonts w:hint="eastAsia" w:ascii="宋体" w:hAnsi="宋体" w:eastAsia="宋体" w:cs="宋体"/>
                <w:color w:val="auto"/>
                <w:spacing w:val="-3"/>
                <w:sz w:val="24"/>
                <w:szCs w:val="24"/>
                <w:highlight w:val="none"/>
                <w:lang w:val="en-US" w:eastAsia="zh-CN"/>
              </w:rPr>
              <w:t>；</w:t>
            </w:r>
          </w:p>
          <w:p w14:paraId="74BE0AC1">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3"/>
                <w:sz w:val="24"/>
                <w:szCs w:val="24"/>
                <w:highlight w:val="none"/>
                <w:lang w:val="en-US" w:eastAsia="zh-CN"/>
              </w:rPr>
              <w:t>2.</w:t>
            </w:r>
            <w:r>
              <w:rPr>
                <w:rFonts w:hint="eastAsia" w:ascii="宋体" w:hAnsi="宋体" w:eastAsia="宋体" w:cs="宋体"/>
                <w:color w:val="auto"/>
                <w:spacing w:val="-3"/>
                <w:sz w:val="24"/>
                <w:szCs w:val="24"/>
                <w:highlight w:val="none"/>
              </w:rPr>
              <w:t>绿地、林地内无长期积水，草坪坑坑洼洼必须及时填平，沟渠保持畅通，确</w:t>
            </w:r>
            <w:r>
              <w:rPr>
                <w:rFonts w:hint="eastAsia" w:ascii="宋体" w:hAnsi="宋体" w:eastAsia="宋体" w:cs="宋体"/>
                <w:color w:val="auto"/>
                <w:spacing w:val="-4"/>
                <w:sz w:val="24"/>
                <w:szCs w:val="24"/>
                <w:highlight w:val="none"/>
              </w:rPr>
              <w:t>保雨后积水及时排除。</w:t>
            </w:r>
          </w:p>
        </w:tc>
      </w:tr>
      <w:tr w14:paraId="324B3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Merge w:val="continue"/>
            <w:tcBorders>
              <w:left w:val="single" w:color="000000" w:sz="2" w:space="0"/>
              <w:right w:val="single" w:color="000000" w:sz="2" w:space="0"/>
            </w:tcBorders>
            <w:noWrap w:val="0"/>
            <w:tcMar>
              <w:top w:w="100" w:type="dxa"/>
              <w:bottom w:w="100" w:type="dxa"/>
            </w:tcMar>
            <w:vAlign w:val="center"/>
          </w:tcPr>
          <w:p w14:paraId="5A672A06">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681" w:type="pct"/>
            <w:vMerge w:val="continue"/>
            <w:tcBorders>
              <w:left w:val="single" w:color="000000" w:sz="2" w:space="0"/>
              <w:right w:val="single" w:color="000000" w:sz="2" w:space="0"/>
            </w:tcBorders>
            <w:noWrap w:val="0"/>
            <w:tcMar>
              <w:top w:w="100" w:type="dxa"/>
              <w:bottom w:w="100" w:type="dxa"/>
            </w:tcMar>
            <w:vAlign w:val="center"/>
          </w:tcPr>
          <w:p w14:paraId="703C62D4">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79EE3A">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center"/>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11"/>
                <w:sz w:val="24"/>
                <w:szCs w:val="24"/>
                <w:highlight w:val="none"/>
              </w:rPr>
              <w:t>施肥</w:t>
            </w:r>
          </w:p>
        </w:tc>
        <w:tc>
          <w:tcPr>
            <w:tcW w:w="3222" w:type="pct"/>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144B36">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对生长弱势树种、开花乔灌木、花境植物、花卉按要求及时施肥，每年休眠期（冬季）施基肥，花灌木花后需进行追肥，规范操作，</w:t>
            </w:r>
            <w:r>
              <w:rPr>
                <w:rFonts w:hint="eastAsia" w:ascii="宋体" w:hAnsi="宋体" w:eastAsia="宋体" w:cs="宋体"/>
                <w:color w:val="auto"/>
                <w:spacing w:val="-2"/>
                <w:sz w:val="24"/>
                <w:szCs w:val="24"/>
                <w:highlight w:val="none"/>
              </w:rPr>
              <w:t>施肥后及时覆盖</w:t>
            </w:r>
            <w:r>
              <w:rPr>
                <w:rFonts w:hint="eastAsia" w:ascii="宋体" w:hAnsi="宋体" w:eastAsia="宋体" w:cs="宋体"/>
                <w:color w:val="auto"/>
                <w:spacing w:val="-2"/>
                <w:sz w:val="24"/>
                <w:szCs w:val="24"/>
                <w:highlight w:val="none"/>
                <w:lang w:val="en-US" w:eastAsia="zh-CN"/>
              </w:rPr>
              <w:t>；</w:t>
            </w:r>
          </w:p>
          <w:p w14:paraId="7484DAB8">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2"/>
                <w:sz w:val="24"/>
                <w:szCs w:val="24"/>
                <w:highlight w:val="none"/>
                <w:lang w:val="en-US" w:eastAsia="zh-CN"/>
              </w:rPr>
              <w:t>2.</w:t>
            </w:r>
            <w:r>
              <w:rPr>
                <w:rFonts w:hint="eastAsia" w:ascii="宋体" w:hAnsi="宋体" w:eastAsia="宋体" w:cs="宋体"/>
                <w:color w:val="auto"/>
                <w:spacing w:val="-2"/>
                <w:sz w:val="24"/>
                <w:szCs w:val="24"/>
                <w:highlight w:val="none"/>
              </w:rPr>
              <w:t>施肥方法适当，用量合理，不产生肥害。</w:t>
            </w:r>
          </w:p>
        </w:tc>
      </w:tr>
      <w:tr w14:paraId="7B5B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vMerge w:val="continue"/>
            <w:tcBorders>
              <w:left w:val="single" w:color="000000" w:sz="2" w:space="0"/>
              <w:right w:val="single" w:color="000000" w:sz="2" w:space="0"/>
            </w:tcBorders>
            <w:noWrap w:val="0"/>
            <w:tcMar>
              <w:top w:w="100" w:type="dxa"/>
              <w:bottom w:w="100" w:type="dxa"/>
            </w:tcMar>
            <w:vAlign w:val="center"/>
          </w:tcPr>
          <w:p w14:paraId="3E471BC8">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681" w:type="pct"/>
            <w:vMerge w:val="continue"/>
            <w:tcBorders>
              <w:left w:val="single" w:color="000000" w:sz="2" w:space="0"/>
              <w:right w:val="single" w:color="000000" w:sz="2" w:space="0"/>
            </w:tcBorders>
            <w:noWrap w:val="0"/>
            <w:tcMar>
              <w:top w:w="100" w:type="dxa"/>
              <w:bottom w:w="100" w:type="dxa"/>
            </w:tcMar>
            <w:vAlign w:val="center"/>
          </w:tcPr>
          <w:p w14:paraId="12B134B9">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2FA227">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center"/>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9"/>
                <w:sz w:val="24"/>
                <w:szCs w:val="24"/>
                <w:highlight w:val="none"/>
              </w:rPr>
              <w:t>绿化长势</w:t>
            </w:r>
          </w:p>
        </w:tc>
        <w:tc>
          <w:tcPr>
            <w:tcW w:w="3222" w:type="pct"/>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8837924">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绿地、林地及行道树无死株、半截子树、断枝及明显枯枝，树木生</w:t>
            </w:r>
            <w:r>
              <w:rPr>
                <w:rFonts w:hint="eastAsia" w:ascii="宋体" w:hAnsi="宋体" w:eastAsia="宋体" w:cs="宋体"/>
                <w:color w:val="auto"/>
                <w:spacing w:val="-1"/>
                <w:sz w:val="24"/>
                <w:szCs w:val="24"/>
                <w:highlight w:val="none"/>
              </w:rPr>
              <w:t>长期无大片光秃落叶，乔木保存率</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
                <w:sz w:val="24"/>
                <w:szCs w:val="24"/>
                <w:highlight w:val="none"/>
              </w:rPr>
              <w:t>98﹪以上，绿地内小灌木</w:t>
            </w:r>
            <w:r>
              <w:rPr>
                <w:rFonts w:hint="eastAsia" w:ascii="宋体" w:hAnsi="宋体" w:eastAsia="宋体" w:cs="宋体"/>
                <w:color w:val="auto"/>
                <w:spacing w:val="-2"/>
                <w:sz w:val="24"/>
                <w:szCs w:val="24"/>
                <w:highlight w:val="none"/>
              </w:rPr>
              <w:t>、地</w:t>
            </w:r>
            <w:r>
              <w:rPr>
                <w:rFonts w:hint="eastAsia" w:ascii="宋体" w:hAnsi="宋体" w:eastAsia="宋体" w:cs="宋体"/>
                <w:color w:val="auto"/>
                <w:spacing w:val="-3"/>
                <w:sz w:val="24"/>
                <w:szCs w:val="24"/>
                <w:highlight w:val="none"/>
              </w:rPr>
              <w:t>被、草坪等完整无空缺，无黄化、生长不良等现象，有缺损应及时补种</w:t>
            </w:r>
            <w:r>
              <w:rPr>
                <w:rFonts w:hint="eastAsia" w:ascii="宋体" w:hAnsi="宋体" w:eastAsia="宋体" w:cs="宋体"/>
                <w:color w:val="auto"/>
                <w:spacing w:val="-3"/>
                <w:sz w:val="24"/>
                <w:szCs w:val="24"/>
                <w:highlight w:val="none"/>
                <w:lang w:val="en-US" w:eastAsia="zh-CN"/>
              </w:rPr>
              <w:t>；</w:t>
            </w:r>
          </w:p>
          <w:p w14:paraId="037D7745">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val="en-US" w:eastAsia="zh-CN"/>
              </w:rPr>
              <w:t>2.</w:t>
            </w:r>
            <w:r>
              <w:rPr>
                <w:rFonts w:hint="eastAsia" w:ascii="宋体" w:hAnsi="宋体" w:eastAsia="宋体" w:cs="宋体"/>
                <w:color w:val="auto"/>
                <w:spacing w:val="-3"/>
                <w:sz w:val="24"/>
                <w:szCs w:val="24"/>
                <w:highlight w:val="none"/>
              </w:rPr>
              <w:t>树木无倾斜、倒歪现象，高大乔木、名贵树种必须采取防倒伏的有效措施</w:t>
            </w:r>
            <w:r>
              <w:rPr>
                <w:rFonts w:hint="eastAsia" w:ascii="宋体" w:hAnsi="宋体" w:eastAsia="宋体" w:cs="宋体"/>
                <w:color w:val="auto"/>
                <w:spacing w:val="-3"/>
                <w:sz w:val="24"/>
                <w:szCs w:val="24"/>
                <w:highlight w:val="none"/>
                <w:lang w:val="en-US" w:eastAsia="zh-CN"/>
              </w:rPr>
              <w:t>；</w:t>
            </w:r>
          </w:p>
          <w:p w14:paraId="6A9F5F46">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val="en-US" w:eastAsia="zh-CN"/>
              </w:rPr>
              <w:t>3.</w:t>
            </w:r>
            <w:r>
              <w:rPr>
                <w:rFonts w:hint="eastAsia" w:ascii="宋体" w:hAnsi="宋体" w:eastAsia="宋体" w:cs="宋体"/>
                <w:color w:val="auto"/>
                <w:spacing w:val="-3"/>
                <w:sz w:val="24"/>
                <w:szCs w:val="24"/>
                <w:highlight w:val="none"/>
              </w:rPr>
              <w:t>因台风、雨雪等灾害天气造成树木倒伏时，应及时</w:t>
            </w:r>
            <w:r>
              <w:rPr>
                <w:rFonts w:hint="eastAsia" w:ascii="宋体" w:hAnsi="宋体" w:eastAsia="宋体" w:cs="宋体"/>
                <w:color w:val="auto"/>
                <w:sz w:val="24"/>
                <w:szCs w:val="24"/>
                <w:highlight w:val="none"/>
              </w:rPr>
              <w:t>扶正并支撑倒伏树木</w:t>
            </w:r>
            <w:r>
              <w:rPr>
                <w:rFonts w:hint="eastAsia" w:ascii="宋体" w:hAnsi="宋体" w:eastAsia="宋体" w:cs="宋体"/>
                <w:color w:val="auto"/>
                <w:sz w:val="24"/>
                <w:szCs w:val="24"/>
                <w:highlight w:val="none"/>
                <w:lang w:val="en-US" w:eastAsia="zh-CN"/>
              </w:rPr>
              <w:t>；</w:t>
            </w:r>
          </w:p>
          <w:p w14:paraId="7C6D1BF1">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绿地内乔木支撑完好</w:t>
            </w:r>
            <w:r>
              <w:rPr>
                <w:rFonts w:hint="eastAsia" w:ascii="宋体" w:hAnsi="宋体" w:eastAsia="宋体" w:cs="宋体"/>
                <w:color w:val="auto"/>
                <w:spacing w:val="-1"/>
                <w:sz w:val="24"/>
                <w:szCs w:val="24"/>
                <w:highlight w:val="none"/>
              </w:rPr>
              <w:t>、树体树枝上无嵌入</w:t>
            </w:r>
            <w:r>
              <w:rPr>
                <w:rFonts w:hint="eastAsia" w:ascii="宋体" w:hAnsi="宋体" w:eastAsia="宋体" w:cs="宋体"/>
                <w:color w:val="auto"/>
                <w:spacing w:val="-4"/>
                <w:sz w:val="24"/>
                <w:szCs w:val="24"/>
                <w:highlight w:val="none"/>
              </w:rPr>
              <w:t>物、悬挂物、张贴物。</w:t>
            </w:r>
          </w:p>
        </w:tc>
      </w:tr>
      <w:tr w14:paraId="1DF53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vMerge w:val="continue"/>
            <w:tcBorders>
              <w:left w:val="single" w:color="000000" w:sz="2" w:space="0"/>
              <w:right w:val="single" w:color="000000" w:sz="2" w:space="0"/>
            </w:tcBorders>
            <w:noWrap w:val="0"/>
            <w:tcMar>
              <w:top w:w="100" w:type="dxa"/>
              <w:bottom w:w="100" w:type="dxa"/>
            </w:tcMar>
            <w:vAlign w:val="center"/>
          </w:tcPr>
          <w:p w14:paraId="51920E50">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681" w:type="pct"/>
            <w:vMerge w:val="continue"/>
            <w:tcBorders>
              <w:left w:val="single" w:color="000000" w:sz="2" w:space="0"/>
              <w:right w:val="single" w:color="000000" w:sz="2" w:space="0"/>
            </w:tcBorders>
            <w:noWrap w:val="0"/>
            <w:tcMar>
              <w:top w:w="100" w:type="dxa"/>
              <w:bottom w:w="100" w:type="dxa"/>
            </w:tcMar>
            <w:vAlign w:val="center"/>
          </w:tcPr>
          <w:p w14:paraId="733B7AFB">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830BE8">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center"/>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9"/>
                <w:sz w:val="24"/>
                <w:szCs w:val="24"/>
                <w:highlight w:val="none"/>
              </w:rPr>
              <w:t>病虫防治</w:t>
            </w:r>
          </w:p>
        </w:tc>
        <w:tc>
          <w:tcPr>
            <w:tcW w:w="3222" w:type="pct"/>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9CE29D">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发现病虫害应主动汇报，并积极防治，效果明显。按规定使用农药，</w:t>
            </w:r>
            <w:r>
              <w:rPr>
                <w:rFonts w:hint="eastAsia" w:ascii="宋体" w:hAnsi="宋体" w:eastAsia="宋体" w:cs="宋体"/>
                <w:color w:val="auto"/>
                <w:spacing w:val="-3"/>
                <w:sz w:val="24"/>
                <w:szCs w:val="24"/>
                <w:highlight w:val="none"/>
              </w:rPr>
              <w:t>科学防治，做到合理配比、选准药品、用量正确，无药害、无大面积病害、虫害症状产生；</w:t>
            </w:r>
          </w:p>
          <w:p w14:paraId="05F0B467">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3"/>
                <w:sz w:val="24"/>
                <w:szCs w:val="24"/>
                <w:highlight w:val="none"/>
                <w:lang w:val="en-US" w:eastAsia="zh-CN"/>
              </w:rPr>
              <w:t>2.</w:t>
            </w:r>
            <w:r>
              <w:rPr>
                <w:rFonts w:hint="eastAsia" w:ascii="宋体" w:hAnsi="宋体" w:eastAsia="宋体" w:cs="宋体"/>
                <w:color w:val="auto"/>
                <w:spacing w:val="-3"/>
                <w:sz w:val="24"/>
                <w:szCs w:val="24"/>
                <w:highlight w:val="none"/>
              </w:rPr>
              <w:t>冬季树木统一涂白，制剂配比准确，用料符合要求，涂白时同一区域高度一致，及时清理消灭越冬虫蛹、虫</w:t>
            </w:r>
            <w:r>
              <w:rPr>
                <w:rFonts w:hint="eastAsia" w:ascii="宋体" w:hAnsi="宋体" w:eastAsia="宋体" w:cs="宋体"/>
                <w:color w:val="auto"/>
                <w:spacing w:val="-5"/>
                <w:sz w:val="24"/>
                <w:szCs w:val="24"/>
                <w:highlight w:val="none"/>
              </w:rPr>
              <w:t>茧及有关病原体。</w:t>
            </w:r>
          </w:p>
        </w:tc>
      </w:tr>
      <w:tr w14:paraId="48722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vMerge w:val="continue"/>
            <w:tcBorders>
              <w:left w:val="single" w:color="000000" w:sz="2" w:space="0"/>
              <w:right w:val="single" w:color="000000" w:sz="2" w:space="0"/>
            </w:tcBorders>
            <w:noWrap w:val="0"/>
            <w:tcMar>
              <w:top w:w="100" w:type="dxa"/>
              <w:bottom w:w="100" w:type="dxa"/>
            </w:tcMar>
            <w:vAlign w:val="center"/>
          </w:tcPr>
          <w:p w14:paraId="15EF040E">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681" w:type="pct"/>
            <w:vMerge w:val="continue"/>
            <w:tcBorders>
              <w:left w:val="single" w:color="000000" w:sz="2" w:space="0"/>
              <w:right w:val="single" w:color="000000" w:sz="2" w:space="0"/>
            </w:tcBorders>
            <w:noWrap w:val="0"/>
            <w:tcMar>
              <w:top w:w="100" w:type="dxa"/>
              <w:bottom w:w="100" w:type="dxa"/>
            </w:tcMar>
            <w:vAlign w:val="center"/>
          </w:tcPr>
          <w:p w14:paraId="16E80A16">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A7039F">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center"/>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9"/>
                <w:sz w:val="24"/>
                <w:szCs w:val="24"/>
                <w:highlight w:val="none"/>
              </w:rPr>
              <w:t>整枝修剪</w:t>
            </w:r>
          </w:p>
        </w:tc>
        <w:tc>
          <w:tcPr>
            <w:tcW w:w="3222" w:type="pct"/>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32B156">
            <w:pPr>
              <w:pStyle w:val="316"/>
              <w:keepNext w:val="0"/>
              <w:keepLines w:val="0"/>
              <w:pageBreakBefore w:val="0"/>
              <w:widowControl/>
              <w:tabs>
                <w:tab w:val="left" w:pos="7360"/>
              </w:tabs>
              <w:kinsoku/>
              <w:wordWrap/>
              <w:overflowPunct/>
              <w:topLinePunct w:val="0"/>
              <w:autoSpaceDE/>
              <w:autoSpaceDN/>
              <w:bidi w:val="0"/>
              <w:adjustRightInd/>
              <w:snapToGrid/>
              <w:spacing w:before="0" w:after="0" w:line="240" w:lineRule="auto"/>
              <w:ind w:right="-71" w:rightChars="-3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rPr>
              <w:t>树木修剪规范整齐、定枝、整枝合理均匀；</w:t>
            </w:r>
          </w:p>
          <w:p w14:paraId="3E8BA389">
            <w:pPr>
              <w:pStyle w:val="316"/>
              <w:keepNext w:val="0"/>
              <w:keepLines w:val="0"/>
              <w:pageBreakBefore w:val="0"/>
              <w:widowControl/>
              <w:tabs>
                <w:tab w:val="left" w:pos="7360"/>
              </w:tabs>
              <w:kinsoku/>
              <w:wordWrap/>
              <w:overflowPunct/>
              <w:topLinePunct w:val="0"/>
              <w:autoSpaceDE/>
              <w:autoSpaceDN/>
              <w:bidi w:val="0"/>
              <w:adjustRightInd/>
              <w:snapToGrid/>
              <w:spacing w:before="0" w:after="0" w:line="240" w:lineRule="auto"/>
              <w:ind w:right="-71" w:rightChars="-3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2.</w:t>
            </w:r>
            <w:r>
              <w:rPr>
                <w:rFonts w:hint="eastAsia" w:ascii="宋体" w:hAnsi="宋体" w:eastAsia="宋体" w:cs="宋体"/>
                <w:color w:val="auto"/>
                <w:spacing w:val="-3"/>
                <w:sz w:val="24"/>
                <w:szCs w:val="24"/>
                <w:highlight w:val="none"/>
              </w:rPr>
              <w:t>花灌木应每年在花后修剪一次；</w:t>
            </w:r>
          </w:p>
          <w:p w14:paraId="4708DE40">
            <w:pPr>
              <w:pStyle w:val="316"/>
              <w:keepNext w:val="0"/>
              <w:keepLines w:val="0"/>
              <w:pageBreakBefore w:val="0"/>
              <w:widowControl/>
              <w:tabs>
                <w:tab w:val="left" w:pos="7360"/>
              </w:tabs>
              <w:kinsoku/>
              <w:wordWrap/>
              <w:overflowPunct/>
              <w:topLinePunct w:val="0"/>
              <w:autoSpaceDE/>
              <w:autoSpaceDN/>
              <w:bidi w:val="0"/>
              <w:adjustRightInd/>
              <w:snapToGrid/>
              <w:spacing w:before="0" w:after="0" w:line="240" w:lineRule="auto"/>
              <w:ind w:right="-71" w:rightChars="-3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3.</w:t>
            </w:r>
            <w:r>
              <w:rPr>
                <w:rFonts w:hint="eastAsia" w:ascii="宋体" w:hAnsi="宋体" w:eastAsia="宋体" w:cs="宋体"/>
                <w:color w:val="auto"/>
                <w:spacing w:val="-3"/>
                <w:sz w:val="24"/>
                <w:szCs w:val="24"/>
                <w:highlight w:val="none"/>
              </w:rPr>
              <w:t>色块、绿篱、球类生长季节每月修剪一次，线条流畅，轮廓明显，不脱脚，无凹凸不平，三面整齐平整，球类修剪圆整、下脚高度一</w:t>
            </w:r>
            <w:r>
              <w:rPr>
                <w:rFonts w:hint="eastAsia" w:ascii="宋体" w:hAnsi="宋体" w:eastAsia="宋体" w:cs="宋体"/>
                <w:color w:val="auto"/>
                <w:spacing w:val="-12"/>
                <w:sz w:val="24"/>
                <w:szCs w:val="24"/>
                <w:highlight w:val="none"/>
              </w:rPr>
              <w:t>致</w:t>
            </w:r>
            <w:r>
              <w:rPr>
                <w:rFonts w:hint="eastAsia" w:ascii="宋体" w:hAnsi="宋体" w:eastAsia="宋体" w:cs="宋体"/>
                <w:color w:val="auto"/>
                <w:spacing w:val="-3"/>
                <w:sz w:val="24"/>
                <w:szCs w:val="24"/>
                <w:highlight w:val="none"/>
              </w:rPr>
              <w:t>；</w:t>
            </w:r>
          </w:p>
          <w:p w14:paraId="7873057E">
            <w:pPr>
              <w:pStyle w:val="316"/>
              <w:keepNext w:val="0"/>
              <w:keepLines w:val="0"/>
              <w:pageBreakBefore w:val="0"/>
              <w:widowControl/>
              <w:tabs>
                <w:tab w:val="left" w:pos="7360"/>
              </w:tabs>
              <w:kinsoku/>
              <w:wordWrap/>
              <w:overflowPunct/>
              <w:topLinePunct w:val="0"/>
              <w:autoSpaceDE/>
              <w:autoSpaceDN/>
              <w:bidi w:val="0"/>
              <w:adjustRightInd/>
              <w:snapToGrid/>
              <w:spacing w:before="0" w:after="0" w:line="240" w:lineRule="auto"/>
              <w:ind w:right="-71" w:rightChars="-3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4.</w:t>
            </w:r>
            <w:r>
              <w:rPr>
                <w:rFonts w:hint="eastAsia" w:ascii="宋体" w:hAnsi="宋体" w:eastAsia="宋体" w:cs="宋体"/>
                <w:color w:val="auto"/>
                <w:spacing w:val="-3"/>
                <w:sz w:val="24"/>
                <w:szCs w:val="24"/>
                <w:highlight w:val="none"/>
              </w:rPr>
              <w:t>行道树根据树木习性及时修剪、剥芽，修剪符合要求，树木通风透光良好。常绿树每年抽稀一次、落叶树冬季必须进行树型修整；分</w:t>
            </w:r>
            <w:r>
              <w:rPr>
                <w:rFonts w:hint="eastAsia" w:ascii="宋体" w:hAnsi="宋体" w:eastAsia="宋体" w:cs="宋体"/>
                <w:color w:val="auto"/>
                <w:spacing w:val="-2"/>
                <w:sz w:val="24"/>
                <w:szCs w:val="24"/>
                <w:highlight w:val="none"/>
              </w:rPr>
              <w:t>枝点高度控制在</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2"/>
                <w:sz w:val="24"/>
                <w:szCs w:val="24"/>
                <w:highlight w:val="none"/>
              </w:rPr>
              <w:t>3.5m</w:t>
            </w:r>
            <w:r>
              <w:rPr>
                <w:rFonts w:hint="eastAsia" w:ascii="宋体" w:hAnsi="宋体" w:eastAsia="宋体" w:cs="宋体"/>
                <w:color w:val="auto"/>
                <w:spacing w:val="-24"/>
                <w:sz w:val="24"/>
                <w:szCs w:val="24"/>
                <w:highlight w:val="none"/>
              </w:rPr>
              <w:t xml:space="preserve"> </w:t>
            </w:r>
            <w:r>
              <w:rPr>
                <w:rFonts w:hint="eastAsia" w:ascii="宋体" w:hAnsi="宋体" w:eastAsia="宋体" w:cs="宋体"/>
                <w:color w:val="auto"/>
                <w:spacing w:val="-2"/>
                <w:sz w:val="24"/>
                <w:szCs w:val="24"/>
                <w:highlight w:val="none"/>
              </w:rPr>
              <w:t>以上，不妨碍公交及行人出行、不遮挡交通</w:t>
            </w:r>
            <w:r>
              <w:rPr>
                <w:rFonts w:hint="eastAsia" w:ascii="宋体" w:hAnsi="宋体" w:eastAsia="宋体" w:cs="宋体"/>
                <w:color w:val="auto"/>
                <w:spacing w:val="-5"/>
                <w:sz w:val="24"/>
                <w:szCs w:val="24"/>
                <w:highlight w:val="none"/>
              </w:rPr>
              <w:t>信号灯及指示牌</w:t>
            </w:r>
            <w:r>
              <w:rPr>
                <w:rFonts w:hint="eastAsia" w:ascii="宋体" w:hAnsi="宋体" w:eastAsia="宋体" w:cs="宋体"/>
                <w:color w:val="auto"/>
                <w:spacing w:val="-3"/>
                <w:sz w:val="24"/>
                <w:szCs w:val="24"/>
                <w:highlight w:val="none"/>
              </w:rPr>
              <w:t>；</w:t>
            </w:r>
          </w:p>
          <w:p w14:paraId="773D3318">
            <w:pPr>
              <w:pStyle w:val="316"/>
              <w:keepNext w:val="0"/>
              <w:keepLines w:val="0"/>
              <w:pageBreakBefore w:val="0"/>
              <w:widowControl/>
              <w:tabs>
                <w:tab w:val="left" w:pos="7360"/>
              </w:tabs>
              <w:kinsoku/>
              <w:wordWrap/>
              <w:overflowPunct/>
              <w:topLinePunct w:val="0"/>
              <w:autoSpaceDE/>
              <w:autoSpaceDN/>
              <w:bidi w:val="0"/>
              <w:adjustRightInd/>
              <w:snapToGrid/>
              <w:spacing w:before="0" w:after="0" w:line="240" w:lineRule="auto"/>
              <w:ind w:right="-71" w:rightChars="-3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5.</w:t>
            </w:r>
            <w:r>
              <w:rPr>
                <w:rFonts w:hint="eastAsia" w:ascii="宋体" w:hAnsi="宋体" w:eastAsia="宋体" w:cs="宋体"/>
                <w:color w:val="auto"/>
                <w:spacing w:val="-3"/>
                <w:sz w:val="24"/>
                <w:szCs w:val="24"/>
                <w:highlight w:val="none"/>
              </w:rPr>
              <w:t>草坪要适时进行修剪并打孔疏草，保持一定高度，修剪面平整，边</w:t>
            </w:r>
            <w:r>
              <w:rPr>
                <w:rFonts w:hint="eastAsia" w:ascii="宋体" w:hAnsi="宋体" w:eastAsia="宋体" w:cs="宋体"/>
                <w:color w:val="auto"/>
                <w:spacing w:val="-4"/>
                <w:sz w:val="24"/>
                <w:szCs w:val="24"/>
                <w:highlight w:val="none"/>
              </w:rPr>
              <w:t>角无遗留，草屑及时扫尽运出</w:t>
            </w:r>
            <w:r>
              <w:rPr>
                <w:rFonts w:hint="eastAsia" w:ascii="宋体" w:hAnsi="宋体" w:eastAsia="宋体" w:cs="宋体"/>
                <w:color w:val="auto"/>
                <w:spacing w:val="-3"/>
                <w:sz w:val="24"/>
                <w:szCs w:val="24"/>
                <w:highlight w:val="none"/>
              </w:rPr>
              <w:t>；</w:t>
            </w:r>
          </w:p>
          <w:p w14:paraId="27058528">
            <w:pPr>
              <w:pStyle w:val="316"/>
              <w:keepNext w:val="0"/>
              <w:keepLines w:val="0"/>
              <w:pageBreakBefore w:val="0"/>
              <w:widowControl/>
              <w:tabs>
                <w:tab w:val="left" w:pos="7360"/>
              </w:tabs>
              <w:kinsoku/>
              <w:wordWrap/>
              <w:overflowPunct/>
              <w:topLinePunct w:val="0"/>
              <w:autoSpaceDE/>
              <w:autoSpaceDN/>
              <w:bidi w:val="0"/>
              <w:adjustRightInd/>
              <w:snapToGrid/>
              <w:spacing w:before="0" w:after="0" w:line="240" w:lineRule="auto"/>
              <w:ind w:right="-71" w:rightChars="-3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rPr>
              <w:t>花境宿根花卉及一二年生花卉散籽期结束应及时清理修剪,芒草、蒲草类根据季相特点注意修剪时间，修剪垃圾不能残留在花境内。</w:t>
            </w:r>
            <w:r>
              <w:rPr>
                <w:rFonts w:hint="eastAsia" w:ascii="宋体" w:hAnsi="宋体" w:eastAsia="宋体" w:cs="宋体"/>
                <w:color w:val="auto"/>
                <w:spacing w:val="-1"/>
                <w:sz w:val="24"/>
                <w:szCs w:val="24"/>
                <w:highlight w:val="none"/>
              </w:rPr>
              <w:t>一些容易品种退化的宿根花卉应根据生长需要及甲方要求及时翻</w:t>
            </w:r>
            <w:r>
              <w:rPr>
                <w:rFonts w:hint="eastAsia" w:ascii="宋体" w:hAnsi="宋体" w:eastAsia="宋体" w:cs="宋体"/>
                <w:color w:val="auto"/>
                <w:spacing w:val="-9"/>
                <w:sz w:val="24"/>
                <w:szCs w:val="24"/>
                <w:highlight w:val="none"/>
              </w:rPr>
              <w:t>种补缺</w:t>
            </w:r>
            <w:r>
              <w:rPr>
                <w:rFonts w:hint="eastAsia" w:ascii="宋体" w:hAnsi="宋体" w:eastAsia="宋体" w:cs="宋体"/>
                <w:color w:val="auto"/>
                <w:spacing w:val="-3"/>
                <w:sz w:val="24"/>
                <w:szCs w:val="24"/>
                <w:highlight w:val="none"/>
              </w:rPr>
              <w:t>；</w:t>
            </w:r>
          </w:p>
          <w:p w14:paraId="513BFB20">
            <w:pPr>
              <w:pStyle w:val="316"/>
              <w:keepNext w:val="0"/>
              <w:keepLines w:val="0"/>
              <w:pageBreakBefore w:val="0"/>
              <w:widowControl/>
              <w:tabs>
                <w:tab w:val="left" w:pos="7360"/>
              </w:tabs>
              <w:kinsoku/>
              <w:wordWrap/>
              <w:overflowPunct/>
              <w:topLinePunct w:val="0"/>
              <w:autoSpaceDE/>
              <w:autoSpaceDN/>
              <w:bidi w:val="0"/>
              <w:adjustRightInd/>
              <w:snapToGrid/>
              <w:spacing w:before="0" w:after="0" w:line="240" w:lineRule="auto"/>
              <w:ind w:right="-71" w:rightChars="-34"/>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7.</w:t>
            </w:r>
            <w:r>
              <w:rPr>
                <w:rFonts w:hint="eastAsia" w:ascii="宋体" w:hAnsi="宋体" w:eastAsia="宋体" w:cs="宋体"/>
                <w:color w:val="auto"/>
                <w:spacing w:val="-3"/>
                <w:sz w:val="24"/>
                <w:szCs w:val="24"/>
                <w:highlight w:val="none"/>
              </w:rPr>
              <w:t>造型树生长季节及时修剪，形状饱满呈馒头状，云片层次分明，冬季（11</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3"/>
                <w:sz w:val="24"/>
                <w:szCs w:val="24"/>
                <w:highlight w:val="none"/>
              </w:rPr>
              <w:t>月-次年</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3"/>
                <w:sz w:val="24"/>
                <w:szCs w:val="24"/>
                <w:highlight w:val="none"/>
              </w:rPr>
              <w:t>2</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月）松类（五针松等）需每年进行绑扎造型；</w:t>
            </w:r>
          </w:p>
          <w:p w14:paraId="6F8DAFB7">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spacing w:line="240" w:lineRule="auto"/>
              <w:ind w:right="-71" w:rightChars="-34"/>
              <w:jc w:val="left"/>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3"/>
                <w:sz w:val="24"/>
                <w:szCs w:val="24"/>
                <w:highlight w:val="none"/>
                <w:lang w:val="en-US" w:eastAsia="zh-CN"/>
              </w:rPr>
              <w:t>8.</w:t>
            </w:r>
            <w:r>
              <w:rPr>
                <w:rFonts w:hint="eastAsia" w:ascii="宋体" w:hAnsi="宋体" w:eastAsia="宋体" w:cs="宋体"/>
                <w:color w:val="auto"/>
                <w:spacing w:val="-3"/>
                <w:sz w:val="24"/>
                <w:szCs w:val="24"/>
                <w:highlight w:val="none"/>
              </w:rPr>
              <w:t>水生植物秋冬季枯萎后需清理修剪，易蔓延类品种如菖蒲等生长季</w:t>
            </w:r>
            <w:r>
              <w:rPr>
                <w:rFonts w:hint="eastAsia" w:ascii="宋体" w:hAnsi="宋体" w:eastAsia="宋体" w:cs="宋体"/>
                <w:color w:val="auto"/>
                <w:spacing w:val="-4"/>
                <w:sz w:val="24"/>
                <w:szCs w:val="24"/>
                <w:highlight w:val="none"/>
              </w:rPr>
              <w:t>节适当杀青控制长势。</w:t>
            </w:r>
          </w:p>
        </w:tc>
      </w:tr>
      <w:tr w14:paraId="3FB78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46F31B98">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681"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52257B4D">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55FE94">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center"/>
              <w:textAlignment w:val="auto"/>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rPr>
              <w:t>林地、绿地保护</w:t>
            </w:r>
          </w:p>
        </w:tc>
        <w:tc>
          <w:tcPr>
            <w:tcW w:w="3222" w:type="pct"/>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DBFCE1">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spacing w:line="240" w:lineRule="auto"/>
              <w:ind w:right="-71" w:rightChars="-34"/>
              <w:jc w:val="left"/>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保持绿地、林地完整，发现破坏绿地林地或无手续开挖现象要及时制止并上报，留好影像资料，并采取临时性保护措施；</w:t>
            </w:r>
          </w:p>
          <w:p w14:paraId="0D4E4187">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spacing w:line="240" w:lineRule="auto"/>
              <w:ind w:right="-71" w:rightChars="-34"/>
              <w:jc w:val="left"/>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2.</w:t>
            </w:r>
            <w:r>
              <w:rPr>
                <w:rFonts w:hint="eastAsia" w:ascii="宋体" w:hAnsi="宋体" w:eastAsia="宋体" w:cs="宋体"/>
                <w:color w:val="auto"/>
                <w:spacing w:val="-3"/>
                <w:sz w:val="24"/>
                <w:szCs w:val="24"/>
                <w:highlight w:val="none"/>
              </w:rPr>
              <w:t>靠近居民区绿带边缘及林下无蔬菜种植及蔬菜棚；</w:t>
            </w:r>
          </w:p>
          <w:p w14:paraId="6810DE3B">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spacing w:line="240" w:lineRule="auto"/>
              <w:ind w:right="-71" w:rightChars="-34"/>
              <w:jc w:val="left"/>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3.</w:t>
            </w:r>
            <w:r>
              <w:rPr>
                <w:rFonts w:hint="eastAsia" w:ascii="宋体" w:hAnsi="宋体" w:eastAsia="宋体" w:cs="宋体"/>
                <w:color w:val="auto"/>
                <w:spacing w:val="-3"/>
                <w:sz w:val="24"/>
                <w:szCs w:val="24"/>
                <w:highlight w:val="none"/>
              </w:rPr>
              <w:t>绿化带内无窝棚搭建、河塘水面无围网及鱼、禽类养殖；</w:t>
            </w:r>
          </w:p>
          <w:p w14:paraId="4E1A6D8E">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spacing w:line="240" w:lineRule="auto"/>
              <w:ind w:right="-71" w:rightChars="-34"/>
              <w:jc w:val="left"/>
              <w:textAlignment w:val="auto"/>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3"/>
                <w:sz w:val="24"/>
                <w:szCs w:val="24"/>
                <w:highlight w:val="none"/>
                <w:lang w:val="en-US" w:eastAsia="zh-CN"/>
              </w:rPr>
              <w:t>4.</w:t>
            </w:r>
            <w:r>
              <w:rPr>
                <w:rFonts w:hint="eastAsia" w:ascii="宋体" w:hAnsi="宋体" w:eastAsia="宋体" w:cs="宋体"/>
                <w:color w:val="auto"/>
                <w:spacing w:val="-3"/>
                <w:sz w:val="24"/>
                <w:szCs w:val="24"/>
                <w:highlight w:val="none"/>
              </w:rPr>
              <w:t>严防绿地林地被无故侵占。</w:t>
            </w:r>
          </w:p>
        </w:tc>
      </w:tr>
      <w:tr w14:paraId="0F90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8B94DB">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eastAsia="zh-CN"/>
              </w:rPr>
            </w:pPr>
            <w:r>
              <w:rPr>
                <w:rStyle w:val="38"/>
                <w:rFonts w:hint="eastAsia" w:ascii="宋体" w:hAnsi="宋体" w:eastAsia="宋体" w:cs="宋体"/>
                <w:b w:val="0"/>
                <w:i w:val="0"/>
                <w:color w:val="auto"/>
                <w:sz w:val="24"/>
                <w:szCs w:val="24"/>
                <w:highlight w:val="none"/>
                <w:u w:val="none"/>
                <w:lang w:val="en-US" w:eastAsia="zh-CN"/>
              </w:rPr>
              <w:t>4</w:t>
            </w:r>
          </w:p>
        </w:tc>
        <w:tc>
          <w:tcPr>
            <w:tcW w:w="6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D0CD50">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养护标准</w:t>
            </w:r>
          </w:p>
        </w:tc>
        <w:tc>
          <w:tcPr>
            <w:tcW w:w="4059"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B1BB50">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left"/>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i/>
                <w:iCs/>
                <w:color w:val="auto"/>
                <w:spacing w:val="-3"/>
                <w:sz w:val="24"/>
                <w:szCs w:val="24"/>
                <w:highlight w:val="none"/>
                <w:u w:val="single"/>
              </w:rPr>
              <w:t>承包养护期内，中标人应按照《江苏省城市园林绿化植物养护技术规定》中园林绿化养护操作规程及园林绿化养护质量标准，合理组织，精心养护，保质保量完成养护管理任务，并符合《常阴沙现</w:t>
            </w:r>
            <w:r>
              <w:rPr>
                <w:rFonts w:hint="eastAsia" w:ascii="宋体" w:hAnsi="宋体" w:eastAsia="宋体" w:cs="宋体"/>
                <w:i/>
                <w:iCs/>
                <w:color w:val="auto"/>
                <w:spacing w:val="-2"/>
                <w:sz w:val="24"/>
                <w:szCs w:val="24"/>
                <w:highlight w:val="none"/>
                <w:u w:val="single"/>
              </w:rPr>
              <w:t>代农业示范园区镇级绿化养护管理考核百分细则》（详见</w:t>
            </w:r>
            <w:r>
              <w:rPr>
                <w:rFonts w:hint="eastAsia" w:ascii="宋体" w:hAnsi="宋体" w:eastAsia="宋体" w:cs="宋体"/>
                <w:i/>
                <w:iCs/>
                <w:color w:val="auto"/>
                <w:spacing w:val="-2"/>
                <w:sz w:val="24"/>
                <w:szCs w:val="24"/>
                <w:highlight w:val="none"/>
                <w:u w:val="single"/>
                <w:lang w:val="en-US" w:eastAsia="zh-CN"/>
              </w:rPr>
              <w:t>项目需求“四、其他部分”附件1、附件2</w:t>
            </w:r>
            <w:r>
              <w:rPr>
                <w:rFonts w:hint="eastAsia" w:ascii="宋体" w:hAnsi="宋体" w:eastAsia="宋体" w:cs="宋体"/>
                <w:i/>
                <w:iCs/>
                <w:color w:val="auto"/>
                <w:spacing w:val="-6"/>
                <w:sz w:val="24"/>
                <w:szCs w:val="24"/>
                <w:highlight w:val="none"/>
                <w:u w:val="single"/>
              </w:rPr>
              <w:t>）相关要求。</w:t>
            </w:r>
          </w:p>
        </w:tc>
      </w:tr>
      <w:tr w14:paraId="55A80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EE086D">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5</w:t>
            </w:r>
          </w:p>
        </w:tc>
        <w:tc>
          <w:tcPr>
            <w:tcW w:w="6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4D309D6">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应急抢险</w:t>
            </w:r>
          </w:p>
        </w:tc>
        <w:tc>
          <w:tcPr>
            <w:tcW w:w="4059"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72DCED">
            <w:pPr>
              <w:pStyle w:val="581"/>
              <w:keepNext w:val="0"/>
              <w:keepLines w:val="0"/>
              <w:pageBreakBefore w:val="0"/>
              <w:widowControl/>
              <w:numPr>
                <w:ilvl w:val="0"/>
                <w:numId w:val="0"/>
              </w:numPr>
              <w:shd w:val="clear"/>
              <w:kinsoku/>
              <w:wordWrap/>
              <w:overflowPunct/>
              <w:topLinePunct w:val="0"/>
              <w:autoSpaceDE/>
              <w:autoSpaceDN/>
              <w:bidi w:val="0"/>
              <w:adjustRightInd/>
              <w:snapToGrid/>
              <w:jc w:val="left"/>
              <w:textAlignment w:val="auto"/>
              <w:rPr>
                <w:rStyle w:val="38"/>
                <w:rFonts w:hint="default"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1"/>
                <w:sz w:val="24"/>
                <w:szCs w:val="24"/>
                <w:highlight w:val="none"/>
                <w:lang w:val="en-US" w:eastAsia="zh-CN"/>
              </w:rPr>
              <w:t>1.因不可抗拒因素如树木突然倒塌、碰线、碰屋、非养护原因造成的树枝伤人、伤物，中标人在接到应急抢险通知后，应迅速组织力量，1小时内到达现场及时处理；</w:t>
            </w:r>
          </w:p>
          <w:p w14:paraId="45FAE293">
            <w:pPr>
              <w:pStyle w:val="581"/>
              <w:keepNext w:val="0"/>
              <w:keepLines w:val="0"/>
              <w:pageBreakBefore w:val="0"/>
              <w:widowControl/>
              <w:numPr>
                <w:ilvl w:val="0"/>
                <w:numId w:val="0"/>
              </w:numPr>
              <w:shd w:val="clear"/>
              <w:kinsoku/>
              <w:wordWrap/>
              <w:overflowPunct/>
              <w:topLinePunct w:val="0"/>
              <w:autoSpaceDE/>
              <w:autoSpaceDN/>
              <w:bidi w:val="0"/>
              <w:adjustRightInd/>
              <w:snapToGrid/>
              <w:jc w:val="left"/>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2.抢险车辆、机械、绳索、人员等及时到位，养护单位负责人通讯畅通，不同灾害分类处理，措施有效、得当。</w:t>
            </w:r>
          </w:p>
        </w:tc>
      </w:tr>
      <w:tr w14:paraId="1B21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jc w:val="center"/>
        </w:trPr>
        <w:tc>
          <w:tcPr>
            <w:tcW w:w="2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81261E">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6</w:t>
            </w:r>
          </w:p>
        </w:tc>
        <w:tc>
          <w:tcPr>
            <w:tcW w:w="6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9BE82A">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安全文明作业</w:t>
            </w:r>
          </w:p>
        </w:tc>
        <w:tc>
          <w:tcPr>
            <w:tcW w:w="4059"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E9B873">
            <w:pPr>
              <w:pStyle w:val="581"/>
              <w:keepNext w:val="0"/>
              <w:keepLines w:val="0"/>
              <w:pageBreakBefore w:val="0"/>
              <w:widowControl/>
              <w:shd w:val="clear"/>
              <w:kinsoku/>
              <w:wordWrap/>
              <w:overflowPunct/>
              <w:topLinePunct w:val="0"/>
              <w:autoSpaceDE/>
              <w:autoSpaceDN/>
              <w:bidi w:val="0"/>
              <w:adjustRightInd/>
              <w:snapToGrid/>
              <w:jc w:val="left"/>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1.各类安全制度规范，一线养护作业人员需统一穿着安全警示服装、标志上岗，道路隔离带作业安全警示锥、安全提示牌放置到位，严格按安全生产操作流程组织作业。</w:t>
            </w:r>
          </w:p>
          <w:p w14:paraId="465A122C">
            <w:pPr>
              <w:pStyle w:val="581"/>
              <w:keepNext w:val="0"/>
              <w:keepLines w:val="0"/>
              <w:pageBreakBefore w:val="0"/>
              <w:widowControl/>
              <w:shd w:val="clear"/>
              <w:kinsoku/>
              <w:wordWrap/>
              <w:overflowPunct/>
              <w:topLinePunct w:val="0"/>
              <w:autoSpaceDE/>
              <w:autoSpaceDN/>
              <w:bidi w:val="0"/>
              <w:adjustRightInd/>
              <w:snapToGrid/>
              <w:jc w:val="left"/>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1"/>
                <w:sz w:val="24"/>
                <w:szCs w:val="24"/>
                <w:highlight w:val="none"/>
                <w:lang w:val="en-US" w:eastAsia="zh-CN"/>
              </w:rPr>
              <w:t>2.服务期内，</w:t>
            </w:r>
            <w:r>
              <w:rPr>
                <w:rFonts w:hint="eastAsia" w:ascii="宋体" w:hAnsi="宋体" w:eastAsia="宋体" w:cs="宋体"/>
                <w:color w:val="auto"/>
                <w:spacing w:val="-1"/>
                <w:sz w:val="24"/>
                <w:szCs w:val="24"/>
                <w:highlight w:val="none"/>
              </w:rPr>
              <w:t>中标</w:t>
            </w:r>
            <w:r>
              <w:rPr>
                <w:rFonts w:hint="eastAsia" w:ascii="宋体" w:hAnsi="宋体" w:eastAsia="宋体" w:cs="宋体"/>
                <w:color w:val="auto"/>
                <w:spacing w:val="-1"/>
                <w:sz w:val="24"/>
                <w:szCs w:val="24"/>
                <w:highlight w:val="none"/>
                <w:lang w:val="en-US" w:eastAsia="zh-CN"/>
              </w:rPr>
              <w:t>人必须按照要求采取严格的安全措施，以避免对养护工作人员、公众和他人财产造成损害，若因承包方操作、养护不当（如蛀干虫害防治不及时、树枝未及时修剪、树木支撑不到位等，引起枝条砸落）或防护设施不到位等造成人身及其它财产损失的，由承包方承担一切责任。</w:t>
            </w:r>
          </w:p>
        </w:tc>
      </w:tr>
      <w:tr w14:paraId="0CDF2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4E4FF571">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7</w:t>
            </w:r>
          </w:p>
        </w:tc>
        <w:tc>
          <w:tcPr>
            <w:tcW w:w="681"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2143BD55">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人员要求</w:t>
            </w: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3F94EC">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center"/>
              <w:textAlignment w:val="auto"/>
              <w:rPr>
                <w:rStyle w:val="38"/>
                <w:rFonts w:hint="eastAsia" w:ascii="宋体" w:hAnsi="宋体" w:eastAsia="宋体" w:cs="宋体"/>
                <w:b w:val="0"/>
                <w:i/>
                <w:iCs/>
                <w:color w:val="auto"/>
                <w:sz w:val="24"/>
                <w:szCs w:val="24"/>
                <w:highlight w:val="none"/>
                <w:u w:val="single"/>
                <w:lang w:val="en-US" w:eastAsia="zh-CN"/>
              </w:rPr>
            </w:pPr>
            <w:r>
              <w:rPr>
                <w:rStyle w:val="38"/>
                <w:rFonts w:hint="eastAsia" w:ascii="宋体" w:hAnsi="宋体" w:eastAsia="宋体" w:cs="宋体"/>
                <w:b w:val="0"/>
                <w:i/>
                <w:iCs/>
                <w:color w:val="auto"/>
                <w:sz w:val="24"/>
                <w:szCs w:val="24"/>
                <w:highlight w:val="none"/>
                <w:u w:val="single"/>
                <w:lang w:val="en-US" w:eastAsia="zh-CN"/>
              </w:rPr>
              <w:t>人员配备</w:t>
            </w:r>
          </w:p>
        </w:tc>
        <w:tc>
          <w:tcPr>
            <w:tcW w:w="3222" w:type="pct"/>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627945B">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spacing w:line="240" w:lineRule="auto"/>
              <w:ind w:right="-107" w:rightChars="-51"/>
              <w:jc w:val="left"/>
              <w:textAlignment w:val="auto"/>
              <w:rPr>
                <w:rStyle w:val="38"/>
                <w:rFonts w:hint="eastAsia" w:ascii="宋体" w:hAnsi="宋体" w:eastAsia="宋体" w:cs="宋体"/>
                <w:b w:val="0"/>
                <w:i/>
                <w:iCs/>
                <w:color w:val="auto"/>
                <w:sz w:val="24"/>
                <w:szCs w:val="24"/>
                <w:highlight w:val="none"/>
                <w:u w:val="single"/>
                <w:lang w:val="en-US" w:eastAsia="zh-CN" w:bidi="ar-SA"/>
              </w:rPr>
            </w:pPr>
            <w:r>
              <w:rPr>
                <w:rFonts w:hint="eastAsia" w:ascii="宋体" w:hAnsi="宋体" w:eastAsia="宋体" w:cs="宋体"/>
                <w:i/>
                <w:iCs/>
                <w:color w:val="auto"/>
                <w:spacing w:val="0"/>
                <w:sz w:val="24"/>
                <w:szCs w:val="24"/>
                <w:highlight w:val="none"/>
                <w:u w:val="single"/>
                <w:lang w:val="en-US" w:eastAsia="zh-CN"/>
              </w:rPr>
              <w:t>投标单位根据项目实际养护需求，</w:t>
            </w:r>
            <w:r>
              <w:rPr>
                <w:rFonts w:hint="eastAsia" w:ascii="宋体" w:hAnsi="宋体" w:cs="宋体"/>
                <w:i/>
                <w:iCs/>
                <w:color w:val="auto"/>
                <w:spacing w:val="0"/>
                <w:sz w:val="24"/>
                <w:szCs w:val="24"/>
                <w:highlight w:val="none"/>
                <w:u w:val="single"/>
                <w:lang w:val="en-US" w:eastAsia="zh-CN"/>
              </w:rPr>
              <w:t>进行</w:t>
            </w:r>
            <w:r>
              <w:rPr>
                <w:rFonts w:hint="eastAsia" w:ascii="宋体" w:hAnsi="宋体" w:eastAsia="宋体" w:cs="宋体"/>
                <w:i/>
                <w:iCs/>
                <w:color w:val="auto"/>
                <w:spacing w:val="0"/>
                <w:sz w:val="24"/>
                <w:szCs w:val="24"/>
                <w:highlight w:val="none"/>
                <w:u w:val="single"/>
                <w:lang w:val="en-US" w:eastAsia="zh-CN"/>
              </w:rPr>
              <w:t>合理配备</w:t>
            </w:r>
            <w:r>
              <w:rPr>
                <w:rFonts w:hint="eastAsia" w:ascii="宋体" w:hAnsi="宋体" w:cs="宋体"/>
                <w:i/>
                <w:iCs/>
                <w:color w:val="auto"/>
                <w:spacing w:val="0"/>
                <w:sz w:val="24"/>
                <w:szCs w:val="24"/>
                <w:highlight w:val="none"/>
                <w:u w:val="single"/>
                <w:lang w:val="en-US" w:eastAsia="zh-CN"/>
              </w:rPr>
              <w:t>。</w:t>
            </w:r>
            <w:r>
              <w:rPr>
                <w:rFonts w:hint="eastAsia" w:ascii="宋体" w:hAnsi="宋体" w:eastAsia="宋体" w:cs="宋体"/>
                <w:i/>
                <w:iCs/>
                <w:color w:val="auto"/>
                <w:spacing w:val="0"/>
                <w:sz w:val="24"/>
                <w:szCs w:val="24"/>
                <w:highlight w:val="none"/>
                <w:u w:val="single"/>
                <w:lang w:val="en-US" w:eastAsia="zh-CN"/>
              </w:rPr>
              <w:t>包括但不限于</w:t>
            </w:r>
            <w:r>
              <w:rPr>
                <w:rFonts w:hint="eastAsia" w:ascii="宋体" w:hAnsi="宋体" w:eastAsia="宋体" w:cs="宋体"/>
                <w:i/>
                <w:iCs/>
                <w:color w:val="auto"/>
                <w:spacing w:val="0"/>
                <w:sz w:val="24"/>
                <w:szCs w:val="24"/>
                <w:highlight w:val="none"/>
                <w:u w:val="single"/>
              </w:rPr>
              <w:t>养护项目</w:t>
            </w:r>
            <w:r>
              <w:rPr>
                <w:rFonts w:hint="eastAsia" w:ascii="宋体" w:hAnsi="宋体" w:cs="宋体"/>
                <w:i/>
                <w:iCs/>
                <w:color w:val="auto"/>
                <w:spacing w:val="0"/>
                <w:sz w:val="24"/>
                <w:szCs w:val="24"/>
                <w:highlight w:val="none"/>
                <w:u w:val="single"/>
                <w:lang w:val="en-US" w:eastAsia="zh-CN"/>
              </w:rPr>
              <w:t>经理</w:t>
            </w:r>
            <w:r>
              <w:rPr>
                <w:rFonts w:hint="eastAsia" w:ascii="宋体" w:hAnsi="宋体" w:eastAsia="宋体" w:cs="宋体"/>
                <w:i/>
                <w:iCs/>
                <w:color w:val="auto"/>
                <w:spacing w:val="0"/>
                <w:sz w:val="24"/>
                <w:szCs w:val="24"/>
                <w:highlight w:val="none"/>
                <w:u w:val="single"/>
              </w:rPr>
              <w:t>、现场</w:t>
            </w:r>
            <w:r>
              <w:rPr>
                <w:rFonts w:hint="eastAsia" w:ascii="宋体" w:hAnsi="宋体" w:eastAsia="宋体" w:cs="宋体"/>
                <w:i/>
                <w:iCs/>
                <w:color w:val="auto"/>
                <w:spacing w:val="0"/>
                <w:sz w:val="24"/>
                <w:szCs w:val="24"/>
                <w:highlight w:val="none"/>
                <w:u w:val="single"/>
                <w:lang w:val="en-US" w:eastAsia="zh-CN"/>
              </w:rPr>
              <w:t>养护</w:t>
            </w:r>
            <w:r>
              <w:rPr>
                <w:rFonts w:hint="eastAsia" w:ascii="宋体" w:hAnsi="宋体" w:eastAsia="宋体" w:cs="宋体"/>
                <w:i/>
                <w:iCs/>
                <w:color w:val="auto"/>
                <w:spacing w:val="0"/>
                <w:sz w:val="24"/>
                <w:szCs w:val="24"/>
                <w:highlight w:val="none"/>
                <w:u w:val="single"/>
              </w:rPr>
              <w:t>负责人员、</w:t>
            </w:r>
            <w:r>
              <w:rPr>
                <w:rFonts w:hint="eastAsia" w:ascii="宋体" w:hAnsi="宋体" w:eastAsia="宋体" w:cs="宋体"/>
                <w:i/>
                <w:iCs/>
                <w:color w:val="auto"/>
                <w:spacing w:val="0"/>
                <w:sz w:val="24"/>
                <w:szCs w:val="24"/>
                <w:highlight w:val="none"/>
                <w:u w:val="single"/>
                <w:lang w:val="en-US" w:eastAsia="zh-CN"/>
              </w:rPr>
              <w:t>现场</w:t>
            </w:r>
            <w:r>
              <w:rPr>
                <w:rFonts w:hint="eastAsia" w:ascii="宋体" w:hAnsi="宋体" w:eastAsia="宋体" w:cs="宋体"/>
                <w:i/>
                <w:iCs/>
                <w:color w:val="auto"/>
                <w:spacing w:val="0"/>
                <w:sz w:val="24"/>
                <w:szCs w:val="24"/>
                <w:highlight w:val="none"/>
                <w:u w:val="single"/>
              </w:rPr>
              <w:t>养护</w:t>
            </w:r>
            <w:r>
              <w:rPr>
                <w:rFonts w:hint="eastAsia" w:ascii="宋体" w:hAnsi="宋体" w:eastAsia="宋体" w:cs="宋体"/>
                <w:i/>
                <w:iCs/>
                <w:color w:val="auto"/>
                <w:spacing w:val="0"/>
                <w:sz w:val="24"/>
                <w:szCs w:val="24"/>
                <w:highlight w:val="none"/>
                <w:u w:val="single"/>
                <w:lang w:val="en-US" w:eastAsia="zh-CN"/>
              </w:rPr>
              <w:t>技术人</w:t>
            </w:r>
            <w:r>
              <w:rPr>
                <w:rFonts w:hint="eastAsia" w:ascii="宋体" w:hAnsi="宋体" w:eastAsia="宋体" w:cs="宋体"/>
                <w:i/>
                <w:iCs/>
                <w:color w:val="auto"/>
                <w:spacing w:val="0"/>
                <w:sz w:val="24"/>
                <w:szCs w:val="24"/>
                <w:highlight w:val="none"/>
                <w:u w:val="single"/>
              </w:rPr>
              <w:t>员、高</w:t>
            </w:r>
            <w:r>
              <w:rPr>
                <w:rFonts w:hint="eastAsia" w:ascii="宋体" w:hAnsi="宋体" w:cs="宋体"/>
                <w:i/>
                <w:iCs/>
                <w:color w:val="auto"/>
                <w:spacing w:val="0"/>
                <w:sz w:val="24"/>
                <w:szCs w:val="24"/>
                <w:highlight w:val="none"/>
                <w:u w:val="single"/>
                <w:lang w:val="en-US" w:eastAsia="zh-CN"/>
              </w:rPr>
              <w:t>处</w:t>
            </w:r>
            <w:r>
              <w:rPr>
                <w:rFonts w:hint="eastAsia" w:ascii="宋体" w:hAnsi="宋体" w:eastAsia="宋体" w:cs="宋体"/>
                <w:i/>
                <w:iCs/>
                <w:color w:val="auto"/>
                <w:spacing w:val="0"/>
                <w:sz w:val="24"/>
                <w:szCs w:val="24"/>
                <w:highlight w:val="none"/>
                <w:u w:val="single"/>
              </w:rPr>
              <w:t>作业人员</w:t>
            </w:r>
            <w:r>
              <w:rPr>
                <w:rFonts w:hint="eastAsia" w:ascii="宋体" w:hAnsi="宋体" w:cs="宋体"/>
                <w:i/>
                <w:iCs/>
                <w:color w:val="auto"/>
                <w:spacing w:val="0"/>
                <w:sz w:val="24"/>
                <w:szCs w:val="24"/>
                <w:highlight w:val="none"/>
                <w:u w:val="single"/>
                <w:lang w:val="en-US" w:eastAsia="zh-CN"/>
              </w:rPr>
              <w:t>等。</w:t>
            </w:r>
            <w:r>
              <w:rPr>
                <w:rStyle w:val="38"/>
                <w:rFonts w:hint="eastAsia" w:ascii="宋体" w:hAnsi="宋体" w:eastAsia="宋体" w:cs="宋体"/>
                <w:b w:val="0"/>
                <w:i/>
                <w:iCs/>
                <w:color w:val="auto"/>
                <w:sz w:val="24"/>
                <w:szCs w:val="24"/>
                <w:highlight w:val="none"/>
                <w:u w:val="single"/>
                <w:lang w:val="en-US" w:eastAsia="zh-CN" w:bidi="ar-SA"/>
              </w:rPr>
              <w:t>拟配备项目组主要成员不低于</w:t>
            </w:r>
            <w:r>
              <w:rPr>
                <w:rStyle w:val="38"/>
                <w:rFonts w:hint="eastAsia" w:ascii="宋体" w:hAnsi="宋体" w:cs="宋体"/>
                <w:b w:val="0"/>
                <w:i/>
                <w:iCs/>
                <w:color w:val="auto"/>
                <w:sz w:val="24"/>
                <w:szCs w:val="24"/>
                <w:highlight w:val="none"/>
                <w:u w:val="single"/>
                <w:lang w:val="en-US" w:eastAsia="zh-CN" w:bidi="ar-SA"/>
              </w:rPr>
              <w:t>4</w:t>
            </w:r>
            <w:r>
              <w:rPr>
                <w:rStyle w:val="38"/>
                <w:rFonts w:hint="eastAsia" w:ascii="宋体" w:hAnsi="宋体" w:eastAsia="宋体" w:cs="宋体"/>
                <w:b w:val="0"/>
                <w:i/>
                <w:iCs/>
                <w:color w:val="auto"/>
                <w:sz w:val="24"/>
                <w:szCs w:val="24"/>
                <w:highlight w:val="none"/>
                <w:u w:val="single"/>
                <w:lang w:val="en-US" w:eastAsia="zh-CN" w:bidi="ar-SA"/>
              </w:rPr>
              <w:t>名，其中：养护项目经理1名</w:t>
            </w:r>
            <w:r>
              <w:rPr>
                <w:rFonts w:hint="eastAsia" w:ascii="宋体" w:hAnsi="宋体" w:eastAsia="宋体" w:cs="宋体"/>
                <w:i/>
                <w:iCs/>
                <w:color w:val="auto"/>
                <w:spacing w:val="0"/>
                <w:sz w:val="24"/>
                <w:szCs w:val="24"/>
                <w:highlight w:val="none"/>
                <w:u w:val="single"/>
                <w:lang w:val="en-US" w:eastAsia="zh-CN"/>
              </w:rPr>
              <w:t>、</w:t>
            </w:r>
            <w:r>
              <w:rPr>
                <w:rStyle w:val="38"/>
                <w:rFonts w:hint="eastAsia" w:ascii="宋体" w:hAnsi="宋体" w:eastAsia="宋体" w:cs="宋体"/>
                <w:b w:val="0"/>
                <w:i/>
                <w:iCs/>
                <w:color w:val="auto"/>
                <w:sz w:val="24"/>
                <w:szCs w:val="24"/>
                <w:highlight w:val="none"/>
                <w:u w:val="single"/>
                <w:lang w:val="en-US" w:eastAsia="zh-CN" w:bidi="ar-SA"/>
              </w:rPr>
              <w:t>现场养护负责人1名、现场养护技术人员1名、高处作业人员1名，所有人员均具有丰富的绿地养护经验。</w:t>
            </w:r>
          </w:p>
          <w:p w14:paraId="370E9498">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spacing w:line="240" w:lineRule="auto"/>
              <w:ind w:right="-107" w:rightChars="-51"/>
              <w:jc w:val="left"/>
              <w:textAlignment w:val="auto"/>
              <w:rPr>
                <w:rStyle w:val="38"/>
                <w:rFonts w:hint="eastAsia" w:ascii="宋体" w:hAnsi="宋体" w:eastAsia="宋体" w:cs="宋体"/>
                <w:b w:val="0"/>
                <w:i/>
                <w:iCs/>
                <w:color w:val="auto"/>
                <w:sz w:val="24"/>
                <w:szCs w:val="24"/>
                <w:highlight w:val="none"/>
                <w:u w:val="single"/>
                <w:lang w:val="en-US" w:eastAsia="zh-CN" w:bidi="ar-SA"/>
              </w:rPr>
            </w:pPr>
            <w:r>
              <w:rPr>
                <w:rStyle w:val="38"/>
                <w:rFonts w:hint="eastAsia" w:ascii="宋体" w:hAnsi="宋体" w:eastAsia="宋体" w:cs="宋体"/>
                <w:b w:val="0"/>
                <w:i/>
                <w:iCs/>
                <w:color w:val="auto"/>
                <w:sz w:val="24"/>
                <w:szCs w:val="24"/>
                <w:highlight w:val="none"/>
                <w:u w:val="single"/>
                <w:lang w:val="en-US" w:eastAsia="zh-CN" w:bidi="ar-SA"/>
              </w:rPr>
              <w:t>注：高处作业人员须具备有效的高处作业证书。</w:t>
            </w:r>
          </w:p>
          <w:p w14:paraId="4780E4F4">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spacing w:line="240" w:lineRule="auto"/>
              <w:ind w:right="-107" w:rightChars="-51"/>
              <w:jc w:val="left"/>
              <w:textAlignment w:val="auto"/>
              <w:rPr>
                <w:rStyle w:val="38"/>
                <w:rFonts w:hint="default" w:ascii="宋体" w:hAnsi="宋体" w:eastAsia="宋体" w:cs="宋体"/>
                <w:b w:val="0"/>
                <w:i/>
                <w:iCs/>
                <w:color w:val="auto"/>
                <w:sz w:val="24"/>
                <w:szCs w:val="24"/>
                <w:highlight w:val="none"/>
                <w:u w:val="single"/>
                <w:lang w:val="en-US" w:eastAsia="zh-CN" w:bidi="ar-SA"/>
              </w:rPr>
            </w:pPr>
            <w:r>
              <w:rPr>
                <w:rStyle w:val="38"/>
                <w:rFonts w:hint="eastAsia" w:ascii="宋体" w:hAnsi="宋体" w:eastAsia="宋体" w:cs="宋体"/>
                <w:b/>
                <w:bCs/>
                <w:i/>
                <w:iCs/>
                <w:color w:val="auto"/>
                <w:sz w:val="24"/>
                <w:szCs w:val="24"/>
                <w:highlight w:val="none"/>
                <w:u w:val="single"/>
                <w:lang w:val="en-US" w:eastAsia="zh-CN" w:bidi="ar-SA"/>
              </w:rPr>
              <w:t>（投标文件中提供项目负责人及其他人员介绍表、相关证书及投标人近期为其缴纳的社保证明复印件。未提供或提供不全的，即视为未实质性响应，将被认定为无效投标。）</w:t>
            </w:r>
          </w:p>
        </w:tc>
      </w:tr>
      <w:tr w14:paraId="33AC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523DF4C5">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yellow"/>
                <w:u w:val="none"/>
              </w:rPr>
            </w:pPr>
          </w:p>
        </w:tc>
        <w:tc>
          <w:tcPr>
            <w:tcW w:w="681"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0A37B410">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yellow"/>
                <w:u w:val="none"/>
              </w:rPr>
            </w:pP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6BE4E4">
            <w:pPr>
              <w:pStyle w:val="581"/>
              <w:keepNext w:val="0"/>
              <w:keepLines w:val="0"/>
              <w:pageBreakBefore w:val="0"/>
              <w:widowControl/>
              <w:numPr>
                <w:ilvl w:val="0"/>
                <w:numId w:val="0"/>
              </w:numPr>
              <w:shd w:val="clear"/>
              <w:tabs>
                <w:tab w:val="left" w:pos="7360"/>
              </w:tabs>
              <w:kinsoku/>
              <w:wordWrap/>
              <w:overflowPunct/>
              <w:topLinePunct w:val="0"/>
              <w:autoSpaceDE/>
              <w:autoSpaceDN/>
              <w:bidi w:val="0"/>
              <w:adjustRightInd/>
              <w:snapToGrid/>
              <w:ind w:right="-71" w:rightChars="-34"/>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职责范围</w:t>
            </w:r>
          </w:p>
        </w:tc>
        <w:tc>
          <w:tcPr>
            <w:tcW w:w="3222" w:type="pct"/>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25232AE">
            <w:pPr>
              <w:pStyle w:val="316"/>
              <w:keepNext w:val="0"/>
              <w:keepLines w:val="0"/>
              <w:pageBreakBefore w:val="0"/>
              <w:widowControl/>
              <w:kinsoku/>
              <w:wordWrap/>
              <w:overflowPunct/>
              <w:topLinePunct w:val="0"/>
              <w:autoSpaceDE/>
              <w:autoSpaceDN/>
              <w:bidi w:val="0"/>
              <w:adjustRightInd/>
              <w:snapToGrid/>
              <w:spacing w:before="0" w:after="0" w:line="240" w:lineRule="auto"/>
              <w:ind w:right="-106"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3"/>
                <w:sz w:val="24"/>
                <w:szCs w:val="24"/>
                <w:highlight w:val="none"/>
                <w:lang w:val="en-US" w:eastAsia="zh-CN"/>
              </w:rPr>
              <w:t>1.</w:t>
            </w:r>
            <w:r>
              <w:rPr>
                <w:rFonts w:hint="eastAsia" w:ascii="宋体" w:hAnsi="宋体" w:eastAsia="宋体" w:cs="宋体"/>
                <w:color w:val="auto"/>
                <w:spacing w:val="-3"/>
                <w:sz w:val="24"/>
                <w:szCs w:val="24"/>
                <w:highlight w:val="none"/>
              </w:rPr>
              <w:t>养护项目经理：做好林地、绿地普查工作；制订养护方案及技术措施、制订月度养护计划、病虫害防治措施及计划；制订抢险、应急措施；做好月度养护的总结及计划的上报工作；建立、上报各类</w:t>
            </w:r>
            <w:r>
              <w:rPr>
                <w:rFonts w:hint="eastAsia" w:ascii="宋体" w:hAnsi="宋体" w:eastAsia="宋体" w:cs="宋体"/>
                <w:color w:val="auto"/>
                <w:spacing w:val="-6"/>
                <w:sz w:val="24"/>
                <w:szCs w:val="24"/>
                <w:highlight w:val="none"/>
              </w:rPr>
              <w:t>养护台账工作</w:t>
            </w:r>
            <w:r>
              <w:rPr>
                <w:rFonts w:hint="eastAsia" w:ascii="宋体" w:hAnsi="宋体" w:eastAsia="宋体" w:cs="宋体"/>
                <w:color w:val="auto"/>
                <w:spacing w:val="-6"/>
                <w:sz w:val="24"/>
                <w:szCs w:val="24"/>
                <w:highlight w:val="none"/>
                <w:lang w:val="en-US" w:eastAsia="zh-CN"/>
              </w:rPr>
              <w:t>；</w:t>
            </w:r>
          </w:p>
          <w:p w14:paraId="3DE5A865">
            <w:pPr>
              <w:pStyle w:val="581"/>
              <w:keepNext w:val="0"/>
              <w:keepLines w:val="0"/>
              <w:pageBreakBefore w:val="0"/>
              <w:widowControl/>
              <w:shd w:val="clear"/>
              <w:kinsoku/>
              <w:wordWrap/>
              <w:overflowPunct/>
              <w:topLinePunct w:val="0"/>
              <w:autoSpaceDE/>
              <w:autoSpaceDN/>
              <w:bidi w:val="0"/>
              <w:adjustRightInd/>
              <w:snapToGrid/>
              <w:spacing w:line="240" w:lineRule="auto"/>
              <w:jc w:val="left"/>
              <w:textAlignment w:val="auto"/>
              <w:rPr>
                <w:rStyle w:val="38"/>
                <w:rFonts w:hint="eastAsia" w:ascii="宋体" w:hAnsi="宋体" w:eastAsia="宋体" w:cs="宋体"/>
                <w:b w:val="0"/>
                <w:i w:val="0"/>
                <w:color w:val="auto"/>
                <w:sz w:val="24"/>
                <w:szCs w:val="24"/>
                <w:highlight w:val="none"/>
                <w:u w:val="none"/>
                <w:lang w:val="en-US" w:eastAsia="zh-CN"/>
              </w:rPr>
            </w:pPr>
            <w:r>
              <w:rPr>
                <w:rFonts w:hint="eastAsia" w:ascii="宋体" w:hAnsi="宋体" w:eastAsia="宋体" w:cs="宋体"/>
                <w:color w:val="auto"/>
                <w:spacing w:val="-3"/>
                <w:sz w:val="24"/>
                <w:szCs w:val="24"/>
                <w:highlight w:val="none"/>
                <w:lang w:val="en-US" w:eastAsia="zh-CN"/>
              </w:rPr>
              <w:t>2.</w:t>
            </w:r>
            <w:r>
              <w:rPr>
                <w:rFonts w:hint="eastAsia" w:ascii="宋体" w:hAnsi="宋体" w:eastAsia="宋体" w:cs="宋体"/>
                <w:color w:val="auto"/>
                <w:spacing w:val="-3"/>
                <w:sz w:val="24"/>
                <w:szCs w:val="24"/>
                <w:highlight w:val="none"/>
              </w:rPr>
              <w:t>现场养护负责人：配合做好林地、绿地普查、保护工作；根据制订的养护方案、技术措施、病虫害防治措施、计划等具体做好各项养护工作；做好林地、绿地巡查工作；参加养护考核及人员考核；</w:t>
            </w:r>
            <w:r>
              <w:rPr>
                <w:rFonts w:hint="eastAsia" w:ascii="宋体" w:hAnsi="宋体" w:eastAsia="宋体" w:cs="宋体"/>
                <w:color w:val="auto"/>
                <w:spacing w:val="-1"/>
                <w:sz w:val="24"/>
                <w:szCs w:val="24"/>
                <w:highlight w:val="none"/>
              </w:rPr>
              <w:t>配合做好行政审批开挖、移植工作；做好抢险、应急、12345</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1"/>
                <w:sz w:val="24"/>
                <w:szCs w:val="24"/>
                <w:highlight w:val="none"/>
              </w:rPr>
              <w:t>便民</w:t>
            </w:r>
            <w:r>
              <w:rPr>
                <w:rFonts w:hint="eastAsia" w:ascii="宋体" w:hAnsi="宋体" w:eastAsia="宋体" w:cs="宋体"/>
                <w:color w:val="auto"/>
                <w:spacing w:val="-3"/>
                <w:sz w:val="24"/>
                <w:szCs w:val="24"/>
                <w:highlight w:val="none"/>
              </w:rPr>
              <w:t>热线等工作以及甲方安排的其他工作。</w:t>
            </w:r>
          </w:p>
        </w:tc>
      </w:tr>
      <w:tr w14:paraId="41F1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259" w:type="pct"/>
            <w:vMerge w:val="restart"/>
            <w:tcBorders>
              <w:left w:val="single" w:color="000000" w:sz="2" w:space="0"/>
              <w:right w:val="single" w:color="000000" w:sz="2" w:space="0"/>
            </w:tcBorders>
            <w:noWrap w:val="0"/>
            <w:tcMar>
              <w:top w:w="100" w:type="dxa"/>
              <w:bottom w:w="100" w:type="dxa"/>
            </w:tcMar>
            <w:vAlign w:val="center"/>
          </w:tcPr>
          <w:p w14:paraId="4AA8E138">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8</w:t>
            </w:r>
          </w:p>
        </w:tc>
        <w:tc>
          <w:tcPr>
            <w:tcW w:w="681" w:type="pct"/>
            <w:vMerge w:val="restart"/>
            <w:tcBorders>
              <w:left w:val="single" w:color="000000" w:sz="2" w:space="0"/>
              <w:right w:val="single" w:color="000000" w:sz="2" w:space="0"/>
            </w:tcBorders>
            <w:noWrap w:val="0"/>
            <w:tcMar>
              <w:top w:w="100" w:type="dxa"/>
              <w:bottom w:w="100" w:type="dxa"/>
            </w:tcMar>
            <w:vAlign w:val="center"/>
          </w:tcPr>
          <w:p w14:paraId="5C2A960F">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车辆及设施设备配备</w:t>
            </w: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C1154D">
            <w:pPr>
              <w:pStyle w:val="581"/>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i/>
                <w:iCs/>
                <w:color w:val="auto"/>
                <w:spacing w:val="-3"/>
                <w:sz w:val="24"/>
                <w:szCs w:val="24"/>
                <w:highlight w:val="none"/>
                <w:u w:val="single"/>
                <w:lang w:val="en-US" w:eastAsia="zh-CN"/>
              </w:rPr>
            </w:pPr>
            <w:r>
              <w:rPr>
                <w:rFonts w:hint="eastAsia" w:ascii="宋体" w:hAnsi="宋体" w:eastAsia="宋体" w:cs="宋体"/>
                <w:i/>
                <w:iCs/>
                <w:color w:val="auto"/>
                <w:spacing w:val="-3"/>
                <w:sz w:val="24"/>
                <w:szCs w:val="24"/>
                <w:highlight w:val="none"/>
                <w:u w:val="single"/>
                <w:lang w:val="en-US" w:eastAsia="zh-CN"/>
              </w:rPr>
              <w:t>车辆</w:t>
            </w:r>
          </w:p>
          <w:p w14:paraId="671EBE76">
            <w:pPr>
              <w:pStyle w:val="581"/>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pacing w:val="-3"/>
                <w:sz w:val="24"/>
                <w:szCs w:val="24"/>
                <w:highlight w:val="none"/>
              </w:rPr>
            </w:pPr>
          </w:p>
        </w:tc>
        <w:tc>
          <w:tcPr>
            <w:tcW w:w="11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4CFFA5">
            <w:pPr>
              <w:pStyle w:val="581"/>
              <w:keepNext w:val="0"/>
              <w:keepLines w:val="0"/>
              <w:pageBreakBefore w:val="0"/>
              <w:widowControl/>
              <w:shd w:val="clear"/>
              <w:kinsoku/>
              <w:wordWrap/>
              <w:overflowPunct/>
              <w:topLinePunct w:val="0"/>
              <w:autoSpaceDE/>
              <w:autoSpaceDN/>
              <w:bidi w:val="0"/>
              <w:adjustRightInd/>
              <w:snapToGrid/>
              <w:spacing w:line="240" w:lineRule="auto"/>
              <w:jc w:val="left"/>
              <w:textAlignment w:val="auto"/>
              <w:rPr>
                <w:rFonts w:hint="default" w:ascii="宋体" w:hAnsi="宋体" w:eastAsia="宋体" w:cs="宋体"/>
                <w:i/>
                <w:iCs/>
                <w:color w:val="auto"/>
                <w:spacing w:val="-3"/>
                <w:sz w:val="24"/>
                <w:szCs w:val="24"/>
                <w:highlight w:val="none"/>
                <w:u w:val="single"/>
                <w:lang w:val="en-US" w:eastAsia="zh-CN"/>
              </w:rPr>
            </w:pPr>
            <w:r>
              <w:rPr>
                <w:rFonts w:hint="eastAsia" w:ascii="宋体" w:hAnsi="宋体" w:eastAsia="宋体" w:cs="宋体"/>
                <w:i/>
                <w:iCs/>
                <w:color w:val="auto"/>
                <w:spacing w:val="-3"/>
                <w:sz w:val="24"/>
                <w:szCs w:val="24"/>
                <w:highlight w:val="none"/>
                <w:u w:val="single"/>
                <w:lang w:val="en-US" w:eastAsia="zh-CN"/>
              </w:rPr>
              <w:t>卡车1辆；</w:t>
            </w:r>
          </w:p>
          <w:p w14:paraId="2118912D">
            <w:pPr>
              <w:pStyle w:val="581"/>
              <w:keepNext w:val="0"/>
              <w:keepLines w:val="0"/>
              <w:pageBreakBefore w:val="0"/>
              <w:widowControl/>
              <w:shd w:val="clea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i/>
                <w:iCs/>
                <w:color w:val="auto"/>
                <w:spacing w:val="-3"/>
                <w:sz w:val="24"/>
                <w:szCs w:val="24"/>
                <w:highlight w:val="none"/>
                <w:u w:val="single"/>
                <w:lang w:val="en-US" w:eastAsia="zh-CN"/>
              </w:rPr>
              <w:t>登高车1台。</w:t>
            </w:r>
          </w:p>
        </w:tc>
        <w:tc>
          <w:tcPr>
            <w:tcW w:w="203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489CA4">
            <w:pPr>
              <w:pStyle w:val="581"/>
              <w:keepNext w:val="0"/>
              <w:keepLines w:val="0"/>
              <w:pageBreakBefore w:val="0"/>
              <w:widowControl/>
              <w:shd w:val="clear"/>
              <w:kinsoku/>
              <w:wordWrap/>
              <w:overflowPunct/>
              <w:topLinePunct w:val="0"/>
              <w:autoSpaceDE/>
              <w:autoSpaceDN/>
              <w:bidi w:val="0"/>
              <w:adjustRightInd/>
              <w:snapToGrid/>
              <w:spacing w:line="240" w:lineRule="auto"/>
              <w:jc w:val="left"/>
              <w:textAlignment w:val="auto"/>
              <w:rPr>
                <w:rFonts w:hint="eastAsia" w:ascii="宋体" w:hAnsi="宋体" w:eastAsia="宋体" w:cs="宋体"/>
                <w:b/>
                <w:bCs/>
                <w:i/>
                <w:iCs/>
                <w:color w:val="auto"/>
                <w:spacing w:val="-3"/>
                <w:sz w:val="24"/>
                <w:szCs w:val="24"/>
                <w:highlight w:val="none"/>
                <w:u w:val="single"/>
                <w:lang w:val="en-US" w:eastAsia="zh-CN"/>
              </w:rPr>
            </w:pPr>
            <w:r>
              <w:rPr>
                <w:rFonts w:ascii="宋体" w:hAnsi="宋体" w:eastAsia="宋体" w:cs="宋体"/>
                <w:b/>
                <w:bCs/>
                <w:i/>
                <w:iCs/>
                <w:color w:val="auto"/>
                <w:spacing w:val="0"/>
                <w:sz w:val="24"/>
                <w:szCs w:val="24"/>
                <w:highlight w:val="none"/>
                <w:u w:val="single"/>
              </w:rPr>
              <w:t>自有的提供相关车辆的行驶证或机动车登记证（产权证）或购置发票原件扫描件；租赁的提供租赁合同原件扫描件、相关车辆行驶证或机动车登记证（产权证）或购置发票原件扫描件</w:t>
            </w:r>
            <w:r>
              <w:rPr>
                <w:rFonts w:hint="eastAsia" w:ascii="宋体" w:hAnsi="宋体" w:eastAsia="宋体" w:cs="宋体"/>
                <w:b/>
                <w:bCs/>
                <w:i/>
                <w:iCs/>
                <w:color w:val="auto"/>
                <w:spacing w:val="0"/>
                <w:sz w:val="24"/>
                <w:szCs w:val="24"/>
                <w:highlight w:val="none"/>
                <w:u w:val="single"/>
                <w:lang w:eastAsia="zh-CN"/>
              </w:rPr>
              <w:t>。</w:t>
            </w:r>
            <w:r>
              <w:rPr>
                <w:rStyle w:val="38"/>
                <w:rFonts w:hint="eastAsia" w:ascii="宋体" w:hAnsi="宋体" w:eastAsia="宋体" w:cs="宋体"/>
                <w:b/>
                <w:bCs/>
                <w:i/>
                <w:iCs/>
                <w:color w:val="auto"/>
                <w:sz w:val="24"/>
                <w:szCs w:val="24"/>
                <w:highlight w:val="none"/>
                <w:u w:val="single"/>
                <w:lang w:val="en-US" w:eastAsia="zh-CN" w:bidi="ar-SA"/>
              </w:rPr>
              <w:t>未提供相应证明材料，即视为未实质性响应，将被认定为无效投标。</w:t>
            </w:r>
          </w:p>
        </w:tc>
      </w:tr>
      <w:tr w14:paraId="67EF5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259" w:type="pct"/>
            <w:vMerge w:val="continue"/>
            <w:tcBorders>
              <w:left w:val="single" w:color="000000" w:sz="2" w:space="0"/>
              <w:right w:val="single" w:color="000000" w:sz="2" w:space="0"/>
            </w:tcBorders>
            <w:noWrap w:val="0"/>
            <w:tcMar>
              <w:top w:w="100" w:type="dxa"/>
              <w:bottom w:w="100" w:type="dxa"/>
            </w:tcMar>
            <w:vAlign w:val="center"/>
          </w:tcPr>
          <w:p w14:paraId="64A322ED">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yellow"/>
                <w:u w:val="none"/>
                <w:lang w:val="en-US" w:eastAsia="zh-CN"/>
              </w:rPr>
            </w:pPr>
          </w:p>
        </w:tc>
        <w:tc>
          <w:tcPr>
            <w:tcW w:w="681" w:type="pct"/>
            <w:vMerge w:val="continue"/>
            <w:tcBorders>
              <w:left w:val="single" w:color="000000" w:sz="2" w:space="0"/>
              <w:right w:val="single" w:color="000000" w:sz="2" w:space="0"/>
            </w:tcBorders>
            <w:noWrap w:val="0"/>
            <w:tcMar>
              <w:top w:w="100" w:type="dxa"/>
              <w:bottom w:w="100" w:type="dxa"/>
            </w:tcMar>
            <w:vAlign w:val="center"/>
          </w:tcPr>
          <w:p w14:paraId="6156DD01">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yellow"/>
                <w:u w:val="none"/>
                <w:lang w:val="en-US" w:eastAsia="zh-CN"/>
              </w:rPr>
            </w:pP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910416">
            <w:pPr>
              <w:pStyle w:val="581"/>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i/>
                <w:iCs/>
                <w:color w:val="auto"/>
                <w:spacing w:val="-3"/>
                <w:sz w:val="24"/>
                <w:szCs w:val="24"/>
                <w:highlight w:val="none"/>
                <w:u w:val="single"/>
                <w:lang w:val="en-US" w:eastAsia="zh-CN"/>
              </w:rPr>
              <w:t>绿化机械</w:t>
            </w:r>
          </w:p>
        </w:tc>
        <w:tc>
          <w:tcPr>
            <w:tcW w:w="119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5B870A">
            <w:pPr>
              <w:pStyle w:val="581"/>
              <w:keepNext w:val="0"/>
              <w:keepLines w:val="0"/>
              <w:pageBreakBefore w:val="0"/>
              <w:widowControl/>
              <w:shd w:val="clea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i/>
                <w:iCs/>
                <w:color w:val="auto"/>
                <w:spacing w:val="-3"/>
                <w:sz w:val="24"/>
                <w:szCs w:val="24"/>
                <w:highlight w:val="none"/>
                <w:u w:val="single"/>
                <w:lang w:val="en-US" w:eastAsia="zh-CN"/>
              </w:rPr>
              <w:t>草坪机2台、打孔机1台、树木扶正器1台、植保机2台，绿篱修剪机4台、油锯1台、高枝油锯1台、割灌机2台。</w:t>
            </w:r>
          </w:p>
        </w:tc>
        <w:tc>
          <w:tcPr>
            <w:tcW w:w="203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297B2B">
            <w:pPr>
              <w:pStyle w:val="581"/>
              <w:keepNext w:val="0"/>
              <w:keepLines w:val="0"/>
              <w:pageBreakBefore w:val="0"/>
              <w:widowControl/>
              <w:shd w:val="clear"/>
              <w:kinsoku/>
              <w:wordWrap/>
              <w:overflowPunct/>
              <w:topLinePunct w:val="0"/>
              <w:autoSpaceDE/>
              <w:autoSpaceDN/>
              <w:bidi w:val="0"/>
              <w:adjustRightInd/>
              <w:snapToGrid/>
              <w:spacing w:line="240" w:lineRule="auto"/>
              <w:jc w:val="left"/>
              <w:textAlignment w:val="auto"/>
              <w:rPr>
                <w:rFonts w:hint="eastAsia" w:ascii="宋体" w:hAnsi="宋体" w:eastAsia="宋体" w:cs="宋体"/>
                <w:b/>
                <w:bCs/>
                <w:i/>
                <w:iCs/>
                <w:color w:val="auto"/>
                <w:spacing w:val="-3"/>
                <w:sz w:val="24"/>
                <w:szCs w:val="24"/>
                <w:highlight w:val="none"/>
                <w:u w:val="single"/>
                <w:lang w:val="en-US" w:eastAsia="zh-CN"/>
              </w:rPr>
            </w:pPr>
            <w:r>
              <w:rPr>
                <w:rFonts w:ascii="宋体" w:hAnsi="宋体" w:eastAsia="宋体" w:cs="宋体"/>
                <w:b/>
                <w:bCs/>
                <w:i/>
                <w:iCs/>
                <w:color w:val="auto"/>
                <w:spacing w:val="0"/>
                <w:sz w:val="24"/>
                <w:szCs w:val="24"/>
                <w:highlight w:val="none"/>
                <w:u w:val="single"/>
              </w:rPr>
              <w:t>自有的提供相关购置发票原件扫描件；租赁的提供租赁合同原件扫描件或购置发票原件扫描件</w:t>
            </w:r>
            <w:r>
              <w:rPr>
                <w:rFonts w:hint="eastAsia" w:ascii="宋体" w:hAnsi="宋体" w:eastAsia="宋体" w:cs="宋体"/>
                <w:b/>
                <w:bCs/>
                <w:i/>
                <w:iCs/>
                <w:color w:val="auto"/>
                <w:spacing w:val="0"/>
                <w:sz w:val="24"/>
                <w:szCs w:val="24"/>
                <w:highlight w:val="none"/>
                <w:u w:val="single"/>
                <w:lang w:eastAsia="zh-CN"/>
              </w:rPr>
              <w:t>。</w:t>
            </w:r>
            <w:r>
              <w:rPr>
                <w:rStyle w:val="38"/>
                <w:rFonts w:hint="eastAsia" w:ascii="宋体" w:hAnsi="宋体" w:eastAsia="宋体" w:cs="宋体"/>
                <w:b/>
                <w:bCs/>
                <w:i/>
                <w:iCs/>
                <w:color w:val="auto"/>
                <w:sz w:val="24"/>
                <w:szCs w:val="24"/>
                <w:highlight w:val="none"/>
                <w:u w:val="single"/>
                <w:lang w:val="en-US" w:eastAsia="zh-CN" w:bidi="ar-SA"/>
              </w:rPr>
              <w:t>未提供相应证明材料，即视为未实质性响应，将被认定为无效投标。</w:t>
            </w:r>
          </w:p>
        </w:tc>
      </w:tr>
      <w:tr w14:paraId="39ADC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259"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796369F1">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yellow"/>
                <w:u w:val="none"/>
                <w:lang w:val="en-US" w:eastAsia="zh-CN"/>
              </w:rPr>
            </w:pPr>
          </w:p>
        </w:tc>
        <w:tc>
          <w:tcPr>
            <w:tcW w:w="681"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5DFD9D33">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yellow"/>
                <w:u w:val="none"/>
                <w:lang w:val="en-US" w:eastAsia="zh-CN"/>
              </w:rPr>
            </w:pPr>
          </w:p>
        </w:tc>
        <w:tc>
          <w:tcPr>
            <w:tcW w:w="83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0CFDB2">
            <w:pPr>
              <w:pStyle w:val="581"/>
              <w:keepNext w:val="0"/>
              <w:keepLines w:val="0"/>
              <w:pageBreakBefore w:val="0"/>
              <w:widowControl/>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道路安全防护设施</w:t>
            </w:r>
          </w:p>
        </w:tc>
        <w:tc>
          <w:tcPr>
            <w:tcW w:w="3222" w:type="pct"/>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E4DF81">
            <w:pPr>
              <w:pStyle w:val="581"/>
              <w:keepNext w:val="0"/>
              <w:keepLines w:val="0"/>
              <w:pageBreakBefore w:val="0"/>
              <w:widowControl/>
              <w:shd w:val="clea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附设警示灯的路栏4个、防撞墙4个、交通警示锥100个。</w:t>
            </w:r>
          </w:p>
        </w:tc>
      </w:tr>
      <w:tr w14:paraId="7EA4C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A61A7B">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9</w:t>
            </w:r>
          </w:p>
        </w:tc>
        <w:tc>
          <w:tcPr>
            <w:tcW w:w="6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E8860A">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养护工作量的追加、减少及添购</w:t>
            </w:r>
          </w:p>
        </w:tc>
        <w:tc>
          <w:tcPr>
            <w:tcW w:w="4059"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top"/>
          </w:tcPr>
          <w:p w14:paraId="438A96D8">
            <w:pPr>
              <w:pStyle w:val="581"/>
              <w:keepNext w:val="0"/>
              <w:keepLines w:val="0"/>
              <w:pageBreakBefore w:val="0"/>
              <w:widowControl/>
              <w:numPr>
                <w:ilvl w:val="0"/>
                <w:numId w:val="0"/>
              </w:numPr>
              <w:shd w:val="clear"/>
              <w:kinsoku/>
              <w:wordWrap/>
              <w:overflowPunct/>
              <w:topLinePunct w:val="0"/>
              <w:autoSpaceDE/>
              <w:autoSpaceDN/>
              <w:bidi w:val="0"/>
              <w:adjustRightInd/>
              <w:snapToGrid/>
              <w:jc w:val="left"/>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1.养护项目清单存在缺项、漏项的：</w:t>
            </w:r>
          </w:p>
          <w:p w14:paraId="228E52B8">
            <w:pPr>
              <w:pStyle w:val="581"/>
              <w:keepNext w:val="0"/>
              <w:keepLines w:val="0"/>
              <w:pageBreakBefore w:val="0"/>
              <w:widowControl/>
              <w:numPr>
                <w:ilvl w:val="0"/>
                <w:numId w:val="0"/>
              </w:numPr>
              <w:shd w:val="clear"/>
              <w:kinsoku/>
              <w:wordWrap/>
              <w:overflowPunct/>
              <w:topLinePunct w:val="0"/>
              <w:autoSpaceDE/>
              <w:autoSpaceDN/>
              <w:bidi w:val="0"/>
              <w:adjustRightInd/>
              <w:snapToGrid/>
              <w:jc w:val="left"/>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①若现有清单中有适用或类似于缺项、漏项的，可在合理范围内参照该项目单价；</w:t>
            </w:r>
          </w:p>
          <w:p w14:paraId="013369EF">
            <w:pPr>
              <w:pStyle w:val="581"/>
              <w:keepNext w:val="0"/>
              <w:keepLines w:val="0"/>
              <w:pageBreakBefore w:val="0"/>
              <w:widowControl/>
              <w:numPr>
                <w:ilvl w:val="0"/>
                <w:numId w:val="0"/>
              </w:numPr>
              <w:shd w:val="clear"/>
              <w:kinsoku/>
              <w:wordWrap/>
              <w:overflowPunct/>
              <w:topLinePunct w:val="0"/>
              <w:autoSpaceDE/>
              <w:autoSpaceDN/>
              <w:bidi w:val="0"/>
              <w:adjustRightInd/>
              <w:snapToGrid/>
              <w:jc w:val="left"/>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②若现有清单中没有适用或类似于缺项、漏项的，由采购人和中标人协商后确定。</w:t>
            </w:r>
          </w:p>
          <w:p w14:paraId="6D9CD855">
            <w:pPr>
              <w:pStyle w:val="581"/>
              <w:keepNext w:val="0"/>
              <w:keepLines w:val="0"/>
              <w:pageBreakBefore w:val="0"/>
              <w:widowControl/>
              <w:shd w:val="clear"/>
              <w:kinsoku/>
              <w:wordWrap/>
              <w:overflowPunct/>
              <w:topLinePunct w:val="0"/>
              <w:autoSpaceDE/>
              <w:autoSpaceDN/>
              <w:bidi w:val="0"/>
              <w:adjustRightInd/>
              <w:snapToGrid/>
              <w:jc w:val="left"/>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2.因实际养护工作量的变化，采购人需追加、减少或添购相关服务的，在不改变合同其他条款的前提下，采购金额不超过原合同金额10%。</w:t>
            </w:r>
          </w:p>
        </w:tc>
      </w:tr>
      <w:tr w14:paraId="53C1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576332A">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10</w:t>
            </w:r>
          </w:p>
        </w:tc>
        <w:tc>
          <w:tcPr>
            <w:tcW w:w="68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EF8843">
            <w:pPr>
              <w:pStyle w:val="581"/>
              <w:keepNext w:val="0"/>
              <w:keepLines w:val="0"/>
              <w:pageBreakBefore w:val="0"/>
              <w:widowControl/>
              <w:shd w:val="clear"/>
              <w:kinsoku/>
              <w:wordWrap/>
              <w:overflowPunct/>
              <w:topLinePunct w:val="0"/>
              <w:autoSpaceDE/>
              <w:autoSpaceDN/>
              <w:bidi w:val="0"/>
              <w:adjustRightInd/>
              <w:snapToGrid/>
              <w:jc w:val="center"/>
              <w:textAlignment w:val="auto"/>
              <w:rPr>
                <w:rStyle w:val="38"/>
                <w:rFonts w:hint="eastAsia" w:ascii="宋体" w:hAnsi="宋体" w:eastAsia="宋体" w:cs="宋体"/>
                <w:b w:val="0"/>
                <w:i w:val="0"/>
                <w:color w:val="auto"/>
                <w:sz w:val="24"/>
                <w:szCs w:val="24"/>
                <w:highlight w:val="none"/>
                <w:u w:val="none"/>
              </w:rPr>
            </w:pPr>
            <w:r>
              <w:rPr>
                <w:rStyle w:val="38"/>
                <w:rFonts w:hint="eastAsia" w:ascii="宋体" w:hAnsi="宋体" w:eastAsia="宋体" w:cs="宋体"/>
                <w:b w:val="0"/>
                <w:i w:val="0"/>
                <w:color w:val="auto"/>
                <w:sz w:val="24"/>
                <w:szCs w:val="24"/>
                <w:highlight w:val="none"/>
                <w:u w:val="none"/>
              </w:rPr>
              <w:t>其他要求</w:t>
            </w:r>
          </w:p>
        </w:tc>
        <w:tc>
          <w:tcPr>
            <w:tcW w:w="4059"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750955">
            <w:pPr>
              <w:pStyle w:val="581"/>
              <w:keepNext w:val="0"/>
              <w:keepLines w:val="0"/>
              <w:pageBreakBefore w:val="0"/>
              <w:widowControl/>
              <w:numPr>
                <w:ilvl w:val="0"/>
                <w:numId w:val="0"/>
              </w:numPr>
              <w:shd w:val="clear"/>
              <w:kinsoku/>
              <w:wordWrap/>
              <w:overflowPunct/>
              <w:topLinePunct w:val="0"/>
              <w:autoSpaceDE/>
              <w:autoSpaceDN/>
              <w:bidi w:val="0"/>
              <w:adjustRightInd/>
              <w:snapToGrid/>
              <w:jc w:val="left"/>
              <w:textAlignment w:val="auto"/>
              <w:rPr>
                <w:rStyle w:val="38"/>
                <w:rFonts w:hint="default"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1.养护地块内凡含草坪地块，冬季需追播黑麦草；</w:t>
            </w:r>
          </w:p>
          <w:p w14:paraId="4A56BBF4">
            <w:pPr>
              <w:pStyle w:val="581"/>
              <w:keepNext w:val="0"/>
              <w:keepLines w:val="0"/>
              <w:pageBreakBefore w:val="0"/>
              <w:widowControl/>
              <w:numPr>
                <w:ilvl w:val="0"/>
                <w:numId w:val="0"/>
              </w:numPr>
              <w:shd w:val="clear"/>
              <w:kinsoku/>
              <w:wordWrap/>
              <w:overflowPunct/>
              <w:topLinePunct w:val="0"/>
              <w:autoSpaceDE/>
              <w:autoSpaceDN/>
              <w:bidi w:val="0"/>
              <w:adjustRightInd/>
              <w:snapToGrid/>
              <w:jc w:val="left"/>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2.养护时间内100%包存活（非养护因素造成的苗木死亡除外）；</w:t>
            </w:r>
          </w:p>
          <w:p w14:paraId="1EC3E33C">
            <w:pPr>
              <w:pStyle w:val="581"/>
              <w:keepNext w:val="0"/>
              <w:keepLines w:val="0"/>
              <w:pageBreakBefore w:val="0"/>
              <w:widowControl/>
              <w:shd w:val="clear"/>
              <w:kinsoku/>
              <w:wordWrap/>
              <w:overflowPunct/>
              <w:topLinePunct w:val="0"/>
              <w:autoSpaceDE/>
              <w:autoSpaceDN/>
              <w:bidi w:val="0"/>
              <w:adjustRightInd/>
              <w:snapToGrid/>
              <w:jc w:val="left"/>
              <w:textAlignment w:val="auto"/>
              <w:rPr>
                <w:rStyle w:val="38"/>
                <w:rFonts w:hint="eastAsia" w:ascii="宋体" w:hAnsi="宋体" w:eastAsia="宋体" w:cs="宋体"/>
                <w:b w:val="0"/>
                <w:i w:val="0"/>
                <w:color w:val="auto"/>
                <w:sz w:val="24"/>
                <w:szCs w:val="24"/>
                <w:highlight w:val="none"/>
                <w:u w:val="none"/>
                <w:lang w:val="en-US" w:eastAsia="zh-CN"/>
              </w:rPr>
            </w:pPr>
            <w:r>
              <w:rPr>
                <w:rStyle w:val="38"/>
                <w:rFonts w:hint="eastAsia" w:ascii="宋体" w:hAnsi="宋体" w:eastAsia="宋体" w:cs="宋体"/>
                <w:b w:val="0"/>
                <w:i w:val="0"/>
                <w:color w:val="auto"/>
                <w:sz w:val="24"/>
                <w:szCs w:val="24"/>
                <w:highlight w:val="none"/>
                <w:u w:val="none"/>
                <w:lang w:val="en-US" w:eastAsia="zh-CN"/>
              </w:rPr>
              <w:t>3</w:t>
            </w:r>
            <w:r>
              <w:rPr>
                <w:rStyle w:val="38"/>
                <w:rFonts w:hint="eastAsia" w:ascii="宋体" w:hAnsi="宋体" w:eastAsia="宋体" w:cs="宋体"/>
                <w:b w:val="0"/>
                <w:i w:val="0"/>
                <w:color w:val="auto"/>
                <w:sz w:val="24"/>
                <w:szCs w:val="24"/>
                <w:highlight w:val="none"/>
                <w:u w:val="none"/>
              </w:rPr>
              <w:t>.</w:t>
            </w:r>
            <w:r>
              <w:rPr>
                <w:rStyle w:val="38"/>
                <w:rFonts w:hint="eastAsia" w:ascii="宋体" w:hAnsi="宋体" w:eastAsia="宋体" w:cs="宋体"/>
                <w:b w:val="0"/>
                <w:i w:val="0"/>
                <w:color w:val="auto"/>
                <w:sz w:val="24"/>
                <w:szCs w:val="24"/>
                <w:highlight w:val="none"/>
                <w:u w:val="none"/>
                <w:lang w:val="en-US" w:eastAsia="zh-CN"/>
              </w:rPr>
              <w:t>由于养护因素造成的苗木死亡，由中标人出资按原规格补植，但养护期满后不得补种，按原苗木中标价从养护费种扣除；</w:t>
            </w:r>
          </w:p>
          <w:p w14:paraId="7F497B9F">
            <w:pPr>
              <w:pStyle w:val="581"/>
              <w:keepNext w:val="0"/>
              <w:keepLines w:val="0"/>
              <w:pageBreakBefore w:val="0"/>
              <w:widowControl/>
              <w:shd w:val="clear"/>
              <w:kinsoku/>
              <w:wordWrap/>
              <w:overflowPunct/>
              <w:topLinePunct w:val="0"/>
              <w:autoSpaceDE/>
              <w:autoSpaceDN/>
              <w:bidi w:val="0"/>
              <w:adjustRightInd/>
              <w:snapToGrid/>
              <w:jc w:val="left"/>
              <w:textAlignment w:val="auto"/>
              <w:rPr>
                <w:rStyle w:val="38"/>
                <w:rFonts w:hint="default" w:ascii="宋体" w:hAnsi="宋体" w:eastAsia="宋体" w:cs="宋体"/>
                <w:b w:val="0"/>
                <w:i w:val="0"/>
                <w:iCs w:val="0"/>
                <w:color w:val="auto"/>
                <w:sz w:val="24"/>
                <w:szCs w:val="24"/>
                <w:highlight w:val="none"/>
                <w:u w:val="none"/>
                <w:lang w:val="en-US" w:eastAsia="zh-CN"/>
              </w:rPr>
            </w:pPr>
            <w:r>
              <w:rPr>
                <w:rFonts w:hint="eastAsia" w:ascii="宋体" w:hAnsi="宋体" w:eastAsia="宋体" w:cs="宋体"/>
                <w:b w:val="0"/>
                <w:bCs w:val="0"/>
                <w:i w:val="0"/>
                <w:iCs w:val="0"/>
                <w:color w:val="auto"/>
                <w:spacing w:val="-1"/>
                <w:sz w:val="24"/>
                <w:szCs w:val="24"/>
                <w:highlight w:val="none"/>
                <w:u w:val="none"/>
                <w:lang w:val="en-US" w:eastAsia="zh-CN"/>
              </w:rPr>
              <w:t>4.投标人必须经采购方通过现场踏勘后合理报价。中标后，在签订合同时和养护管理过程中，不得以不完全了解现场情况或工程量增加为由，提出任何形式的增加经费或索赔的要求。投标供应商可自行考察现场，综合考虑风险后报价，报价包含现有部分空缺地段补苗费用；</w:t>
            </w:r>
          </w:p>
          <w:p w14:paraId="4BB58976">
            <w:pPr>
              <w:pStyle w:val="581"/>
              <w:keepNext w:val="0"/>
              <w:keepLines w:val="0"/>
              <w:pageBreakBefore w:val="0"/>
              <w:widowControl/>
              <w:shd w:val="clear"/>
              <w:kinsoku/>
              <w:wordWrap/>
              <w:overflowPunct/>
              <w:topLinePunct w:val="0"/>
              <w:autoSpaceDE/>
              <w:autoSpaceDN/>
              <w:bidi w:val="0"/>
              <w:adjustRightInd/>
              <w:snapToGrid/>
              <w:jc w:val="left"/>
              <w:textAlignment w:val="auto"/>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3"/>
                <w:sz w:val="24"/>
                <w:szCs w:val="24"/>
                <w:highlight w:val="none"/>
                <w:lang w:val="en-US" w:eastAsia="zh-CN"/>
              </w:rPr>
              <w:t>5</w:t>
            </w:r>
            <w:r>
              <w:rPr>
                <w:rFonts w:hint="eastAsia" w:ascii="宋体" w:hAnsi="宋体" w:eastAsia="宋体" w:cs="宋体"/>
                <w:color w:val="auto"/>
                <w:spacing w:val="-1"/>
                <w:sz w:val="24"/>
                <w:szCs w:val="24"/>
                <w:highlight w:val="none"/>
                <w:lang w:val="en-US" w:eastAsia="zh-CN"/>
              </w:rPr>
              <w:t>.管护组织制度齐全，工作有台帐，记录全，每月按要求上报当月工作总结及下月养护计划；养护工人统一穿着安全警示服装、标志上岗，快速道路路面作业安全警示锥、伸缩护栏、安全提示牌等按规定放置，严格按安全生产操作流程组织作业，养护管理规范，遵守各项管理规定。按要求准时参加各类会议、活动及业务培训；</w:t>
            </w:r>
          </w:p>
          <w:p w14:paraId="36BCF53C">
            <w:pPr>
              <w:pStyle w:val="581"/>
              <w:keepNext w:val="0"/>
              <w:keepLines w:val="0"/>
              <w:pageBreakBefore w:val="0"/>
              <w:widowControl/>
              <w:shd w:val="clear"/>
              <w:kinsoku/>
              <w:wordWrap/>
              <w:overflowPunct/>
              <w:topLinePunct w:val="0"/>
              <w:autoSpaceDE/>
              <w:autoSpaceDN/>
              <w:bidi w:val="0"/>
              <w:adjustRightInd/>
              <w:snapToGrid/>
              <w:jc w:val="left"/>
              <w:textAlignment w:val="auto"/>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6.投标人提供2022年1月1日以来（以合同签订日期为准）的类似项目业绩合同复印件；</w:t>
            </w:r>
          </w:p>
          <w:p w14:paraId="48C88528">
            <w:pPr>
              <w:pStyle w:val="581"/>
              <w:keepNext w:val="0"/>
              <w:keepLines w:val="0"/>
              <w:pageBreakBefore w:val="0"/>
              <w:widowControl/>
              <w:shd w:val="clear"/>
              <w:kinsoku/>
              <w:wordWrap/>
              <w:overflowPunct/>
              <w:topLinePunct w:val="0"/>
              <w:autoSpaceDE/>
              <w:autoSpaceDN/>
              <w:bidi w:val="0"/>
              <w:adjustRightInd/>
              <w:snapToGrid/>
              <w:jc w:val="left"/>
              <w:textAlignment w:val="auto"/>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7.养护管理负责人通讯畅通，各类通知说明及时收取回复。及时完成重要活动、参观接待、环境整治等临时性突击工作。无上级领导及相关部门、市民、游客反映、投诉管护存在问题；</w:t>
            </w:r>
          </w:p>
          <w:p w14:paraId="78B2B8F4">
            <w:pPr>
              <w:pStyle w:val="581"/>
              <w:keepNext w:val="0"/>
              <w:keepLines w:val="0"/>
              <w:pageBreakBefore w:val="0"/>
              <w:widowControl/>
              <w:shd w:val="clear"/>
              <w:kinsoku/>
              <w:wordWrap/>
              <w:overflowPunct/>
              <w:topLinePunct w:val="0"/>
              <w:autoSpaceDE/>
              <w:autoSpaceDN/>
              <w:bidi w:val="0"/>
              <w:adjustRightInd/>
              <w:snapToGrid/>
              <w:jc w:val="left"/>
              <w:textAlignment w:val="auto"/>
              <w:rPr>
                <w:rFonts w:hint="eastAsia" w:ascii="宋体" w:hAnsi="宋体" w:eastAsia="宋体" w:cs="宋体"/>
                <w:color w:val="auto"/>
                <w:spacing w:val="-3"/>
                <w:sz w:val="24"/>
                <w:szCs w:val="24"/>
                <w:highlight w:val="none"/>
                <w:lang w:eastAsia="zh-CN"/>
              </w:rPr>
            </w:pPr>
            <w:r>
              <w:rPr>
                <w:rStyle w:val="38"/>
                <w:rFonts w:hint="eastAsia" w:ascii="宋体" w:hAnsi="宋体" w:eastAsia="宋体" w:cs="宋体"/>
                <w:b w:val="0"/>
                <w:i w:val="0"/>
                <w:color w:val="auto"/>
                <w:sz w:val="24"/>
                <w:szCs w:val="24"/>
                <w:highlight w:val="none"/>
                <w:u w:val="none"/>
                <w:lang w:val="en-US" w:eastAsia="zh-CN"/>
              </w:rPr>
              <w:t>8.</w:t>
            </w:r>
            <w:r>
              <w:rPr>
                <w:rFonts w:hint="eastAsia" w:ascii="宋体" w:hAnsi="宋体" w:eastAsia="宋体" w:cs="宋体"/>
                <w:color w:val="auto"/>
                <w:spacing w:val="-1"/>
                <w:sz w:val="24"/>
                <w:szCs w:val="24"/>
                <w:highlight w:val="none"/>
              </w:rPr>
              <w:t>中标</w:t>
            </w:r>
            <w:r>
              <w:rPr>
                <w:rFonts w:hint="eastAsia" w:ascii="宋体" w:hAnsi="宋体" w:eastAsia="宋体" w:cs="宋体"/>
                <w:color w:val="auto"/>
                <w:spacing w:val="-1"/>
                <w:sz w:val="24"/>
                <w:szCs w:val="24"/>
                <w:highlight w:val="none"/>
                <w:lang w:val="en-US" w:eastAsia="zh-CN"/>
              </w:rPr>
              <w:t>人</w:t>
            </w:r>
            <w:r>
              <w:rPr>
                <w:rFonts w:hint="eastAsia" w:ascii="宋体" w:hAnsi="宋体" w:eastAsia="宋体" w:cs="宋体"/>
                <w:color w:val="auto"/>
                <w:spacing w:val="-1"/>
                <w:sz w:val="24"/>
                <w:szCs w:val="24"/>
                <w:highlight w:val="none"/>
              </w:rPr>
              <w:t>在合同签订前必须将以上人员(养护项目经理）</w:t>
            </w:r>
            <w:r>
              <w:rPr>
                <w:rFonts w:hint="eastAsia" w:ascii="宋体" w:hAnsi="宋体" w:eastAsia="宋体" w:cs="宋体"/>
                <w:color w:val="auto"/>
                <w:spacing w:val="-3"/>
                <w:sz w:val="24"/>
                <w:szCs w:val="24"/>
                <w:highlight w:val="none"/>
              </w:rPr>
              <w:t>的职称证书、</w:t>
            </w:r>
            <w:r>
              <w:rPr>
                <w:rFonts w:hint="eastAsia" w:ascii="宋体" w:hAnsi="宋体" w:eastAsia="宋体" w:cs="宋体"/>
                <w:color w:val="auto"/>
                <w:spacing w:val="-3"/>
                <w:sz w:val="24"/>
                <w:szCs w:val="24"/>
                <w:highlight w:val="none"/>
                <w:lang w:val="en-US" w:eastAsia="zh-CN"/>
              </w:rPr>
              <w:t>职</w:t>
            </w:r>
            <w:r>
              <w:rPr>
                <w:rFonts w:hint="eastAsia" w:ascii="宋体" w:hAnsi="宋体" w:eastAsia="宋体" w:cs="宋体"/>
                <w:color w:val="auto"/>
                <w:spacing w:val="-3"/>
                <w:sz w:val="24"/>
                <w:szCs w:val="24"/>
                <w:highlight w:val="none"/>
              </w:rPr>
              <w:t>业资格证书复印件至采购单位备案</w:t>
            </w:r>
            <w:r>
              <w:rPr>
                <w:rFonts w:hint="eastAsia" w:ascii="宋体" w:hAnsi="宋体" w:eastAsia="宋体" w:cs="宋体"/>
                <w:color w:val="auto"/>
                <w:spacing w:val="-3"/>
                <w:sz w:val="24"/>
                <w:szCs w:val="24"/>
                <w:highlight w:val="none"/>
                <w:lang w:val="en-US" w:eastAsia="zh-CN"/>
              </w:rPr>
              <w:t>；</w:t>
            </w:r>
          </w:p>
          <w:p w14:paraId="1C5DE9C7">
            <w:pPr>
              <w:pStyle w:val="581"/>
              <w:keepNext w:val="0"/>
              <w:keepLines w:val="0"/>
              <w:pageBreakBefore w:val="0"/>
              <w:widowControl/>
              <w:shd w:val="clear"/>
              <w:kinsoku/>
              <w:wordWrap/>
              <w:overflowPunct/>
              <w:topLinePunct w:val="0"/>
              <w:autoSpaceDE/>
              <w:autoSpaceDN/>
              <w:bidi w:val="0"/>
              <w:adjustRightInd/>
              <w:snapToGrid/>
              <w:jc w:val="left"/>
              <w:textAlignment w:val="auto"/>
              <w:rPr>
                <w:rFonts w:hint="default" w:ascii="宋体" w:hAnsi="宋体" w:eastAsia="宋体" w:cs="宋体"/>
                <w:i/>
                <w:iCs/>
                <w:color w:val="auto"/>
                <w:spacing w:val="-1"/>
                <w:sz w:val="24"/>
                <w:szCs w:val="24"/>
                <w:highlight w:val="none"/>
                <w:u w:val="single"/>
                <w:lang w:val="en-US" w:eastAsia="zh-CN"/>
              </w:rPr>
            </w:pPr>
            <w:r>
              <w:rPr>
                <w:rFonts w:hint="eastAsia" w:ascii="宋体" w:hAnsi="宋体" w:eastAsia="宋体" w:cs="宋体"/>
                <w:i/>
                <w:iCs/>
                <w:color w:val="auto"/>
                <w:spacing w:val="-1"/>
                <w:sz w:val="24"/>
                <w:szCs w:val="24"/>
                <w:highlight w:val="none"/>
                <w:u w:val="single"/>
                <w:lang w:val="en-US" w:eastAsia="zh-CN"/>
              </w:rPr>
              <w:t>9.根据《中华人民共和国劳动民法典》、《中华人民共和国社会保险法》、《住房公积金管理条例》，中标单位必须依法规范用工，符合规定条件的人员须签订劳动合同，依法参加社会保险、缴存住房公积金，未退休人员工资应不低于最新公布的投标人所在地最低工资标准，所有人员必须购买意外伤害保险。</w:t>
            </w:r>
          </w:p>
        </w:tc>
      </w:tr>
    </w:tbl>
    <w:p w14:paraId="0C449D13">
      <w:pPr>
        <w:shd w:val="clea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6A1DC97B">
      <w:pPr>
        <w:pStyle w:val="3"/>
        <w:keepNext/>
        <w:keepLines/>
        <w:pageBreakBefore w:val="0"/>
        <w:widowControl w:val="0"/>
        <w:kinsoku/>
        <w:wordWrap/>
        <w:overflowPunct/>
        <w:topLinePunct w:val="0"/>
        <w:autoSpaceDE/>
        <w:autoSpaceDN/>
        <w:bidi w:val="0"/>
        <w:adjustRightInd/>
        <w:snapToGrid/>
        <w:spacing w:before="0" w:after="0"/>
        <w:textAlignment w:val="auto"/>
        <w:rPr>
          <w:rFonts w:hint="eastAsia"/>
          <w:lang w:val="en-US" w:eastAsia="zh-CN"/>
        </w:rPr>
      </w:pPr>
      <w:r>
        <w:rPr>
          <w:rFonts w:hint="eastAsia"/>
          <w:lang w:val="en-US" w:eastAsia="zh-CN"/>
        </w:rPr>
        <w:t xml:space="preserve">三、商务要求 </w:t>
      </w:r>
    </w:p>
    <w:p w14:paraId="5F1C89DA">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360" w:lineRule="auto"/>
        <w:ind w:firstLine="500"/>
        <w:contextualSpacing/>
        <w:rPr>
          <w:rFonts w:hint="eastAsia" w:ascii="宋体" w:hAnsi="宋体" w:cs="宋体"/>
          <w:b/>
          <w:color w:val="000000" w:themeColor="text1"/>
          <w:spacing w:val="7"/>
          <w:sz w:val="24"/>
          <w:szCs w:val="24"/>
          <w:highlight w:val="none"/>
          <w:lang w:val="en-US" w:eastAsia="zh-CN"/>
          <w14:textFill>
            <w14:solidFill>
              <w14:schemeClr w14:val="tx1"/>
            </w14:solidFill>
          </w14:textFill>
        </w:rPr>
      </w:pPr>
      <w:r>
        <w:rPr>
          <w:rFonts w:hint="eastAsia" w:ascii="宋体" w:hAnsi="宋体" w:cs="宋体"/>
          <w:b/>
          <w:color w:val="000000" w:themeColor="text1"/>
          <w:spacing w:val="7"/>
          <w:sz w:val="24"/>
          <w:szCs w:val="24"/>
          <w:highlight w:val="none"/>
          <w:lang w:val="en-US" w:eastAsia="zh-CN"/>
          <w14:textFill>
            <w14:solidFill>
              <w14:schemeClr w14:val="tx1"/>
            </w14:solidFill>
          </w14:textFill>
        </w:rPr>
        <w:t>1 服务期限</w:t>
      </w:r>
    </w:p>
    <w:p w14:paraId="75C67E7F">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360" w:lineRule="auto"/>
        <w:ind w:firstLine="500"/>
        <w:contextualSpacing/>
        <w:rPr>
          <w:rFonts w:ascii="宋体" w:hAnsi="宋体" w:cs="宋体"/>
          <w:color w:val="000000" w:themeColor="text1"/>
          <w:sz w:val="24"/>
          <w:szCs w:val="24"/>
          <w:highlight w:val="none"/>
          <w14:textFill>
            <w14:solidFill>
              <w14:schemeClr w14:val="tx1"/>
            </w14:solidFill>
          </w14:textFill>
        </w:rPr>
      </w:pPr>
      <w:r>
        <w:rPr>
          <w:rFonts w:ascii="宋体" w:hAnsi="宋体" w:cs="宋体"/>
          <w:i/>
          <w:color w:val="000000" w:themeColor="text1"/>
          <w:spacing w:val="7"/>
          <w:sz w:val="24"/>
          <w:highlight w:val="none"/>
          <w:u w:val="single"/>
          <w14:textFill>
            <w14:solidFill>
              <w14:schemeClr w14:val="tx1"/>
            </w14:solidFill>
          </w14:textFill>
        </w:rPr>
        <w:t>1.1、服务期限</w:t>
      </w:r>
      <w:r>
        <w:rPr>
          <w:rStyle w:val="38"/>
          <w:rFonts w:hint="eastAsia" w:ascii="宋体" w:hAnsi="宋体" w:cs="宋体"/>
          <w:b w:val="0"/>
          <w:i/>
          <w:color w:val="000000" w:themeColor="text1"/>
          <w:spacing w:val="7"/>
          <w:sz w:val="24"/>
          <w:highlight w:val="none"/>
          <w:u w:val="single"/>
          <w:lang w:eastAsia="zh-CN"/>
          <w14:textFill>
            <w14:solidFill>
              <w14:schemeClr w14:val="tx1"/>
            </w14:solidFill>
          </w14:textFill>
        </w:rPr>
        <w:t>：24个月</w:t>
      </w:r>
    </w:p>
    <w:p w14:paraId="2AABD5CD">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360" w:lineRule="auto"/>
        <w:ind w:firstLine="500"/>
        <w:contextualSpacing/>
        <w:rPr>
          <w:rFonts w:ascii="宋体" w:hAnsi="宋体" w:cs="宋体"/>
          <w:color w:val="auto"/>
          <w:sz w:val="24"/>
          <w:szCs w:val="24"/>
          <w:highlight w:val="none"/>
        </w:rPr>
      </w:pPr>
      <w:r>
        <w:rPr>
          <w:rFonts w:ascii="宋体" w:hAnsi="宋体" w:cs="宋体"/>
          <w:b/>
          <w:color w:val="000000" w:themeColor="text1"/>
          <w:spacing w:val="7"/>
          <w:sz w:val="24"/>
          <w:szCs w:val="24"/>
          <w:highlight w:val="none"/>
          <w14:textFill>
            <w14:solidFill>
              <w14:schemeClr w14:val="tx1"/>
            </w14:solidFill>
          </w14:textFill>
        </w:rPr>
        <w:t>2 货款支付</w:t>
      </w:r>
    </w:p>
    <w:p w14:paraId="6826605E">
      <w:pPr>
        <w:pStyle w:val="582"/>
        <w:keepNext w:val="0"/>
        <w:keepLines w:val="0"/>
        <w:pageBreakBefore w:val="0"/>
        <w:shd w:val="clear"/>
        <w:kinsoku/>
        <w:wordWrap/>
        <w:overflowPunct/>
        <w:topLinePunct w:val="0"/>
        <w:autoSpaceDE/>
        <w:autoSpaceDN/>
        <w:bidi w:val="0"/>
        <w:adjustRightInd/>
        <w:snapToGrid/>
        <w:spacing w:line="360" w:lineRule="auto"/>
        <w:ind w:firstLine="500"/>
        <w:textAlignment w:val="auto"/>
        <w:outlineLvl w:val="9"/>
        <w:rPr>
          <w:rStyle w:val="38"/>
          <w:rFonts w:ascii="宋体" w:hAnsi="宋体" w:eastAsia="宋体" w:cs="宋体"/>
          <w:b w:val="0"/>
          <w:i/>
          <w:color w:val="auto"/>
          <w:spacing w:val="7"/>
          <w:sz w:val="24"/>
          <w:szCs w:val="24"/>
          <w:highlight w:val="none"/>
          <w:u w:val="single"/>
        </w:rPr>
      </w:pPr>
      <w:r>
        <w:rPr>
          <w:rStyle w:val="38"/>
          <w:rFonts w:ascii="宋体" w:hAnsi="宋体" w:eastAsia="宋体" w:cs="宋体"/>
          <w:b w:val="0"/>
          <w:i/>
          <w:color w:val="auto"/>
          <w:spacing w:val="7"/>
          <w:sz w:val="24"/>
          <w:szCs w:val="24"/>
          <w:highlight w:val="none"/>
          <w:u w:val="single"/>
        </w:rPr>
        <w:t>2.1、结付程序</w:t>
      </w:r>
    </w:p>
    <w:p w14:paraId="4288D2E6">
      <w:pPr>
        <w:pStyle w:val="582"/>
        <w:keepNext w:val="0"/>
        <w:keepLines w:val="0"/>
        <w:pageBreakBefore w:val="0"/>
        <w:shd w:val="clear"/>
        <w:kinsoku/>
        <w:wordWrap/>
        <w:overflowPunct/>
        <w:topLinePunct w:val="0"/>
        <w:autoSpaceDE/>
        <w:autoSpaceDN/>
        <w:bidi w:val="0"/>
        <w:adjustRightInd/>
        <w:snapToGrid/>
        <w:spacing w:line="360" w:lineRule="auto"/>
        <w:ind w:firstLine="500"/>
        <w:textAlignment w:val="auto"/>
        <w:outlineLvl w:val="9"/>
        <w:rPr>
          <w:rStyle w:val="38"/>
          <w:rFonts w:ascii="宋体" w:hAnsi="宋体" w:eastAsia="宋体" w:cs="宋体"/>
          <w:b w:val="0"/>
          <w:i/>
          <w:color w:val="auto"/>
          <w:spacing w:val="7"/>
          <w:sz w:val="24"/>
          <w:szCs w:val="24"/>
          <w:highlight w:val="none"/>
          <w:u w:val="single"/>
        </w:rPr>
      </w:pPr>
      <w:r>
        <w:rPr>
          <w:rStyle w:val="38"/>
          <w:rFonts w:ascii="宋体" w:hAnsi="宋体" w:eastAsia="宋体" w:cs="宋体"/>
          <w:b w:val="0"/>
          <w:i/>
          <w:color w:val="auto"/>
          <w:spacing w:val="7"/>
          <w:sz w:val="24"/>
          <w:szCs w:val="24"/>
          <w:highlight w:val="none"/>
          <w:u w:val="single"/>
        </w:rPr>
        <w:t>中标供应商按本项目合同内容合格地履行服务义务后，凭验收报告、现场工程量确认单、</w:t>
      </w:r>
      <w:r>
        <w:rPr>
          <w:rStyle w:val="38"/>
          <w:rFonts w:hint="eastAsia" w:ascii="宋体" w:hAnsi="宋体" w:eastAsia="宋体" w:cs="宋体"/>
          <w:b w:val="0"/>
          <w:i/>
          <w:color w:val="auto"/>
          <w:spacing w:val="7"/>
          <w:sz w:val="24"/>
          <w:szCs w:val="24"/>
          <w:highlight w:val="none"/>
          <w:u w:val="single"/>
          <w:lang w:val="en-US" w:eastAsia="zh-CN"/>
        </w:rPr>
        <w:t>考核情况表及</w:t>
      </w:r>
      <w:r>
        <w:rPr>
          <w:rStyle w:val="38"/>
          <w:rFonts w:ascii="宋体" w:hAnsi="宋体" w:eastAsia="宋体" w:cs="宋体"/>
          <w:b w:val="0"/>
          <w:i/>
          <w:color w:val="auto"/>
          <w:spacing w:val="7"/>
          <w:sz w:val="24"/>
          <w:szCs w:val="24"/>
          <w:highlight w:val="none"/>
          <w:u w:val="single"/>
        </w:rPr>
        <w:t>发票到采购人处办理服务费用结算手续。</w:t>
      </w:r>
    </w:p>
    <w:p w14:paraId="0CEBD019">
      <w:pPr>
        <w:pStyle w:val="582"/>
        <w:keepNext w:val="0"/>
        <w:keepLines w:val="0"/>
        <w:pageBreakBefore w:val="0"/>
        <w:shd w:val="clear"/>
        <w:kinsoku/>
        <w:wordWrap/>
        <w:overflowPunct/>
        <w:topLinePunct w:val="0"/>
        <w:autoSpaceDE/>
        <w:autoSpaceDN/>
        <w:bidi w:val="0"/>
        <w:adjustRightInd/>
        <w:snapToGrid/>
        <w:spacing w:line="360" w:lineRule="auto"/>
        <w:ind w:firstLine="500"/>
        <w:textAlignment w:val="auto"/>
        <w:outlineLvl w:val="9"/>
        <w:rPr>
          <w:rStyle w:val="38"/>
          <w:rFonts w:hint="eastAsia" w:ascii="宋体" w:hAnsi="宋体" w:eastAsia="宋体" w:cs="宋体"/>
          <w:b w:val="0"/>
          <w:i/>
          <w:color w:val="auto"/>
          <w:spacing w:val="7"/>
          <w:sz w:val="24"/>
          <w:szCs w:val="24"/>
          <w:highlight w:val="none"/>
          <w:u w:val="single"/>
        </w:rPr>
      </w:pPr>
      <w:r>
        <w:rPr>
          <w:rStyle w:val="38"/>
          <w:rFonts w:hint="eastAsia" w:ascii="宋体" w:hAnsi="宋体" w:eastAsia="宋体" w:cs="宋体"/>
          <w:b w:val="0"/>
          <w:i/>
          <w:color w:val="auto"/>
          <w:spacing w:val="7"/>
          <w:sz w:val="24"/>
          <w:szCs w:val="24"/>
          <w:highlight w:val="none"/>
          <w:u w:val="single"/>
        </w:rPr>
        <w:t>2.2、结付期限</w:t>
      </w:r>
    </w:p>
    <w:p w14:paraId="2CD2C052">
      <w:pPr>
        <w:keepNext w:val="0"/>
        <w:keepLines w:val="0"/>
        <w:pageBreakBefore w:val="0"/>
        <w:kinsoku/>
        <w:wordWrap/>
        <w:overflowPunct/>
        <w:topLinePunct w:val="0"/>
        <w:autoSpaceDE/>
        <w:autoSpaceDN/>
        <w:bidi w:val="0"/>
        <w:adjustRightInd/>
        <w:snapToGrid/>
        <w:spacing w:line="360" w:lineRule="auto"/>
        <w:ind w:right="129" w:firstLine="476"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i/>
          <w:iCs/>
          <w:spacing w:val="-1"/>
          <w:sz w:val="24"/>
          <w:szCs w:val="24"/>
          <w:highlight w:val="none"/>
          <w:u w:val="single" w:color="auto"/>
          <w:lang w:eastAsia="zh-CN"/>
        </w:rPr>
        <w:t>（</w:t>
      </w:r>
      <w:r>
        <w:rPr>
          <w:rFonts w:hint="eastAsia" w:ascii="宋体" w:hAnsi="宋体" w:eastAsia="宋体" w:cs="宋体"/>
          <w:i/>
          <w:iCs/>
          <w:spacing w:val="-1"/>
          <w:sz w:val="24"/>
          <w:szCs w:val="24"/>
          <w:highlight w:val="none"/>
          <w:u w:val="single" w:color="auto"/>
        </w:rPr>
        <w:t>1</w:t>
      </w:r>
      <w:r>
        <w:rPr>
          <w:rFonts w:hint="eastAsia" w:ascii="宋体" w:hAnsi="宋体" w:eastAsia="宋体" w:cs="宋体"/>
          <w:i/>
          <w:iCs/>
          <w:spacing w:val="-1"/>
          <w:sz w:val="24"/>
          <w:szCs w:val="24"/>
          <w:highlight w:val="none"/>
          <w:u w:val="single" w:color="auto"/>
          <w:lang w:eastAsia="zh-CN"/>
        </w:rPr>
        <w:t>）</w:t>
      </w:r>
      <w:r>
        <w:rPr>
          <w:rFonts w:hint="eastAsia" w:ascii="宋体" w:hAnsi="宋体" w:eastAsia="宋体" w:cs="宋体"/>
          <w:i/>
          <w:iCs/>
          <w:spacing w:val="-1"/>
          <w:sz w:val="24"/>
          <w:szCs w:val="24"/>
          <w:highlight w:val="none"/>
          <w:u w:val="single" w:color="auto"/>
        </w:rPr>
        <w:t>合同签订后，采购方预付10%的年服务费，预付款在第一笔</w:t>
      </w:r>
      <w:r>
        <w:rPr>
          <w:rFonts w:hint="eastAsia" w:ascii="宋体" w:hAnsi="宋体" w:cs="宋体"/>
          <w:i/>
          <w:iCs/>
          <w:spacing w:val="-1"/>
          <w:sz w:val="24"/>
          <w:szCs w:val="24"/>
          <w:highlight w:val="none"/>
          <w:u w:val="single" w:color="auto"/>
          <w:lang w:val="en-US" w:eastAsia="zh-CN"/>
        </w:rPr>
        <w:t>服务</w:t>
      </w:r>
      <w:r>
        <w:rPr>
          <w:rFonts w:hint="eastAsia" w:ascii="宋体" w:hAnsi="宋体" w:eastAsia="宋体" w:cs="宋体"/>
          <w:i/>
          <w:iCs/>
          <w:spacing w:val="-1"/>
          <w:sz w:val="24"/>
          <w:szCs w:val="24"/>
          <w:highlight w:val="none"/>
          <w:u w:val="single" w:color="auto"/>
        </w:rPr>
        <w:t>费支</w:t>
      </w:r>
      <w:r>
        <w:rPr>
          <w:rFonts w:hint="eastAsia" w:ascii="宋体" w:hAnsi="宋体" w:eastAsia="宋体" w:cs="宋体"/>
          <w:i/>
          <w:iCs/>
          <w:spacing w:val="-4"/>
          <w:sz w:val="24"/>
          <w:szCs w:val="24"/>
          <w:highlight w:val="none"/>
          <w:u w:val="single" w:color="auto"/>
        </w:rPr>
        <w:t>付时扣回</w:t>
      </w:r>
      <w:r>
        <w:rPr>
          <w:rFonts w:hint="eastAsia" w:ascii="宋体" w:hAnsi="宋体" w:cs="宋体"/>
          <w:i/>
          <w:iCs/>
          <w:spacing w:val="-4"/>
          <w:sz w:val="24"/>
          <w:szCs w:val="24"/>
          <w:highlight w:val="none"/>
          <w:u w:val="single" w:color="auto"/>
          <w:lang w:val="en-US" w:eastAsia="zh-CN"/>
        </w:rPr>
        <w:t>；</w:t>
      </w:r>
    </w:p>
    <w:p w14:paraId="4C1C3EEB">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360" w:lineRule="auto"/>
        <w:ind w:leftChars="0" w:firstLine="464" w:firstLineChars="200"/>
        <w:contextualSpacing/>
        <w:textAlignment w:val="auto"/>
        <w:rPr>
          <w:rFonts w:hint="eastAsia" w:ascii="宋体" w:hAnsi="宋体" w:eastAsia="宋体" w:cs="宋体"/>
          <w:i/>
          <w:iCs/>
          <w:color w:val="auto"/>
          <w:spacing w:val="-4"/>
          <w:sz w:val="24"/>
          <w:szCs w:val="24"/>
          <w:highlight w:val="none"/>
          <w:u w:val="single" w:color="auto"/>
        </w:rPr>
      </w:pPr>
      <w:r>
        <w:rPr>
          <w:rFonts w:hint="eastAsia" w:ascii="宋体" w:hAnsi="宋体" w:eastAsia="宋体" w:cs="宋体"/>
          <w:i/>
          <w:iCs/>
          <w:color w:val="auto"/>
          <w:spacing w:val="-4"/>
          <w:sz w:val="24"/>
          <w:szCs w:val="24"/>
          <w:highlight w:val="none"/>
          <w:u w:val="single" w:color="auto"/>
          <w:lang w:eastAsia="zh-CN"/>
        </w:rPr>
        <w:t>（</w:t>
      </w:r>
      <w:r>
        <w:rPr>
          <w:rFonts w:hint="eastAsia" w:ascii="宋体" w:hAnsi="宋体" w:eastAsia="宋体" w:cs="宋体"/>
          <w:i/>
          <w:iCs/>
          <w:color w:val="auto"/>
          <w:spacing w:val="-4"/>
          <w:sz w:val="24"/>
          <w:szCs w:val="24"/>
          <w:highlight w:val="none"/>
          <w:u w:val="single" w:color="auto"/>
          <w:lang w:val="en-US" w:eastAsia="zh-CN"/>
        </w:rPr>
        <w:t>2</w:t>
      </w:r>
      <w:r>
        <w:rPr>
          <w:rFonts w:hint="eastAsia" w:ascii="宋体" w:hAnsi="宋体" w:eastAsia="宋体" w:cs="宋体"/>
          <w:i/>
          <w:iCs/>
          <w:color w:val="auto"/>
          <w:spacing w:val="-4"/>
          <w:sz w:val="24"/>
          <w:szCs w:val="24"/>
          <w:highlight w:val="none"/>
          <w:u w:val="single" w:color="auto"/>
          <w:lang w:eastAsia="zh-CN"/>
        </w:rPr>
        <w:t>）</w:t>
      </w:r>
      <w:r>
        <w:rPr>
          <w:rFonts w:hint="eastAsia" w:ascii="宋体" w:hAnsi="宋体" w:eastAsia="宋体" w:cs="宋体"/>
          <w:i/>
          <w:iCs/>
          <w:color w:val="auto"/>
          <w:spacing w:val="-4"/>
          <w:sz w:val="24"/>
          <w:szCs w:val="24"/>
          <w:highlight w:val="none"/>
          <w:u w:val="single" w:color="auto"/>
        </w:rPr>
        <w:t>服务期满</w:t>
      </w:r>
      <w:r>
        <w:rPr>
          <w:rFonts w:hint="eastAsia" w:ascii="宋体" w:hAnsi="宋体" w:eastAsia="宋体" w:cs="宋体"/>
          <w:color w:val="auto"/>
          <w:spacing w:val="-27"/>
          <w:sz w:val="24"/>
          <w:szCs w:val="24"/>
          <w:highlight w:val="none"/>
          <w:u w:val="single" w:color="auto"/>
        </w:rPr>
        <w:t xml:space="preserve"> </w:t>
      </w:r>
      <w:r>
        <w:rPr>
          <w:rFonts w:hint="eastAsia" w:ascii="宋体" w:hAnsi="宋体" w:eastAsia="宋体" w:cs="宋体"/>
          <w:i/>
          <w:iCs/>
          <w:color w:val="auto"/>
          <w:spacing w:val="-4"/>
          <w:sz w:val="24"/>
          <w:szCs w:val="24"/>
          <w:highlight w:val="none"/>
          <w:u w:val="single" w:color="auto"/>
        </w:rPr>
        <w:t>12</w:t>
      </w:r>
      <w:r>
        <w:rPr>
          <w:rFonts w:hint="eastAsia" w:ascii="宋体" w:hAnsi="宋体" w:eastAsia="宋体" w:cs="宋体"/>
          <w:color w:val="auto"/>
          <w:spacing w:val="-54"/>
          <w:sz w:val="24"/>
          <w:szCs w:val="24"/>
          <w:highlight w:val="none"/>
          <w:u w:val="single" w:color="auto"/>
        </w:rPr>
        <w:t xml:space="preserve"> </w:t>
      </w:r>
      <w:r>
        <w:rPr>
          <w:rFonts w:hint="eastAsia" w:ascii="宋体" w:hAnsi="宋体" w:eastAsia="宋体" w:cs="宋体"/>
          <w:i/>
          <w:iCs/>
          <w:color w:val="auto"/>
          <w:spacing w:val="-4"/>
          <w:sz w:val="24"/>
          <w:szCs w:val="24"/>
          <w:highlight w:val="none"/>
          <w:u w:val="single" w:color="auto"/>
        </w:rPr>
        <w:t>个</w:t>
      </w:r>
      <w:r>
        <w:rPr>
          <w:rFonts w:hint="eastAsia" w:ascii="宋体" w:hAnsi="宋体" w:eastAsia="宋体" w:cs="宋体"/>
          <w:i/>
          <w:iCs/>
          <w:color w:val="auto"/>
          <w:spacing w:val="-5"/>
          <w:sz w:val="24"/>
          <w:szCs w:val="24"/>
          <w:highlight w:val="none"/>
          <w:u w:val="single" w:color="auto"/>
        </w:rPr>
        <w:t>月，</w:t>
      </w:r>
      <w:r>
        <w:rPr>
          <w:rFonts w:hint="eastAsia" w:ascii="宋体" w:hAnsi="宋体" w:eastAsia="宋体" w:cs="宋体"/>
          <w:i/>
          <w:iCs/>
          <w:color w:val="auto"/>
          <w:spacing w:val="-5"/>
          <w:sz w:val="24"/>
          <w:szCs w:val="24"/>
          <w:highlight w:val="none"/>
          <w:u w:val="single" w:color="auto"/>
          <w:lang w:val="en-US" w:eastAsia="zh-CN"/>
        </w:rPr>
        <w:t>采购方</w:t>
      </w:r>
      <w:r>
        <w:rPr>
          <w:rFonts w:hint="eastAsia" w:ascii="宋体" w:hAnsi="宋体" w:eastAsia="宋体" w:cs="宋体"/>
          <w:i/>
          <w:iCs/>
          <w:color w:val="auto"/>
          <w:spacing w:val="-5"/>
          <w:sz w:val="24"/>
          <w:szCs w:val="24"/>
          <w:highlight w:val="none"/>
          <w:u w:val="single" w:color="auto"/>
        </w:rPr>
        <w:t>根据服务期内</w:t>
      </w:r>
      <w:r>
        <w:rPr>
          <w:rFonts w:hint="eastAsia" w:ascii="宋体" w:hAnsi="宋体" w:eastAsia="宋体" w:cs="宋体"/>
          <w:color w:val="auto"/>
          <w:spacing w:val="-17"/>
          <w:sz w:val="24"/>
          <w:szCs w:val="24"/>
          <w:highlight w:val="none"/>
          <w:u w:val="single" w:color="auto"/>
        </w:rPr>
        <w:t xml:space="preserve"> </w:t>
      </w:r>
      <w:r>
        <w:rPr>
          <w:rFonts w:hint="eastAsia" w:ascii="宋体" w:hAnsi="宋体" w:eastAsia="宋体" w:cs="宋体"/>
          <w:i/>
          <w:iCs/>
          <w:color w:val="auto"/>
          <w:spacing w:val="-5"/>
          <w:sz w:val="24"/>
          <w:szCs w:val="24"/>
          <w:highlight w:val="none"/>
          <w:u w:val="single" w:color="auto"/>
        </w:rPr>
        <w:t>12个月的考核情况，对养护单位进行年度考核，</w:t>
      </w:r>
      <w:r>
        <w:rPr>
          <w:rFonts w:hint="eastAsia" w:ascii="宋体" w:hAnsi="宋体" w:eastAsia="宋体" w:cs="宋体"/>
          <w:i/>
          <w:iCs/>
          <w:color w:val="auto"/>
          <w:spacing w:val="-5"/>
          <w:sz w:val="24"/>
          <w:szCs w:val="24"/>
          <w:highlight w:val="none"/>
          <w:u w:val="single" w:color="auto"/>
          <w:lang w:val="en-US" w:eastAsia="zh-CN"/>
        </w:rPr>
        <w:t>根据</w:t>
      </w:r>
      <w:r>
        <w:rPr>
          <w:rFonts w:hint="eastAsia" w:ascii="宋体" w:hAnsi="宋体" w:eastAsia="宋体" w:cs="宋体"/>
          <w:i/>
          <w:iCs/>
          <w:color w:val="auto"/>
          <w:spacing w:val="-5"/>
          <w:sz w:val="24"/>
          <w:szCs w:val="24"/>
          <w:highlight w:val="none"/>
          <w:u w:val="single" w:color="auto"/>
        </w:rPr>
        <w:t>考核</w:t>
      </w:r>
      <w:r>
        <w:rPr>
          <w:rFonts w:hint="eastAsia" w:ascii="宋体" w:hAnsi="宋体" w:eastAsia="宋体" w:cs="宋体"/>
          <w:i/>
          <w:iCs/>
          <w:color w:val="auto"/>
          <w:spacing w:val="-4"/>
          <w:sz w:val="24"/>
          <w:szCs w:val="24"/>
          <w:highlight w:val="none"/>
          <w:u w:val="single" w:color="auto"/>
        </w:rPr>
        <w:t>结果</w:t>
      </w:r>
      <w:r>
        <w:rPr>
          <w:rFonts w:hint="eastAsia" w:ascii="宋体" w:hAnsi="宋体" w:eastAsia="宋体" w:cs="宋体"/>
          <w:i/>
          <w:iCs/>
          <w:color w:val="auto"/>
          <w:spacing w:val="-4"/>
          <w:sz w:val="24"/>
          <w:szCs w:val="24"/>
          <w:highlight w:val="none"/>
          <w:u w:val="single" w:color="auto"/>
          <w:lang w:val="en-US" w:eastAsia="zh-CN"/>
        </w:rPr>
        <w:t>结算并</w:t>
      </w:r>
      <w:r>
        <w:rPr>
          <w:rFonts w:hint="eastAsia" w:ascii="宋体" w:hAnsi="宋体" w:eastAsia="宋体" w:cs="宋体"/>
          <w:i/>
          <w:iCs/>
          <w:color w:val="auto"/>
          <w:spacing w:val="-4"/>
          <w:sz w:val="24"/>
          <w:szCs w:val="24"/>
          <w:highlight w:val="none"/>
          <w:u w:val="single" w:color="auto"/>
        </w:rPr>
        <w:t>支付</w:t>
      </w:r>
      <w:r>
        <w:rPr>
          <w:rFonts w:hint="eastAsia" w:ascii="宋体" w:hAnsi="宋体" w:eastAsia="宋体" w:cs="宋体"/>
          <w:i/>
          <w:iCs/>
          <w:color w:val="auto"/>
          <w:spacing w:val="-4"/>
          <w:sz w:val="24"/>
          <w:szCs w:val="24"/>
          <w:highlight w:val="none"/>
          <w:u w:val="single" w:color="auto"/>
          <w:lang w:val="en-US" w:eastAsia="zh-CN"/>
        </w:rPr>
        <w:t>应付年服务</w:t>
      </w:r>
      <w:r>
        <w:rPr>
          <w:rFonts w:hint="eastAsia" w:ascii="宋体" w:hAnsi="宋体" w:eastAsia="宋体" w:cs="宋体"/>
          <w:i/>
          <w:iCs/>
          <w:color w:val="auto"/>
          <w:spacing w:val="-4"/>
          <w:sz w:val="24"/>
          <w:szCs w:val="24"/>
          <w:highlight w:val="none"/>
          <w:u w:val="single" w:color="auto"/>
        </w:rPr>
        <w:t>费。</w:t>
      </w:r>
    </w:p>
    <w:p w14:paraId="301E2076">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360" w:lineRule="auto"/>
        <w:ind w:leftChars="0" w:firstLine="464" w:firstLineChars="200"/>
        <w:contextualSpacing/>
        <w:textAlignment w:val="auto"/>
        <w:rPr>
          <w:rFonts w:hint="default" w:ascii="宋体" w:hAnsi="宋体" w:eastAsia="宋体" w:cs="宋体"/>
          <w:i/>
          <w:iCs/>
          <w:color w:val="auto"/>
          <w:spacing w:val="-4"/>
          <w:sz w:val="24"/>
          <w:szCs w:val="24"/>
          <w:highlight w:val="none"/>
          <w:u w:val="single" w:color="auto"/>
          <w:lang w:val="en-US" w:eastAsia="zh-CN"/>
        </w:rPr>
      </w:pPr>
      <w:r>
        <w:rPr>
          <w:rFonts w:hint="eastAsia" w:ascii="宋体" w:hAnsi="宋体" w:cs="宋体"/>
          <w:i/>
          <w:iCs/>
          <w:color w:val="auto"/>
          <w:spacing w:val="-4"/>
          <w:sz w:val="24"/>
          <w:szCs w:val="24"/>
          <w:highlight w:val="none"/>
          <w:u w:val="single" w:color="auto"/>
          <w:lang w:val="en-US" w:eastAsia="zh-CN"/>
        </w:rPr>
        <w:t>注：</w:t>
      </w:r>
      <w:r>
        <w:rPr>
          <w:rFonts w:hint="default" w:ascii="宋体" w:hAnsi="宋体" w:eastAsia="宋体" w:cs="宋体"/>
          <w:i/>
          <w:iCs/>
          <w:color w:val="auto"/>
          <w:spacing w:val="-4"/>
          <w:sz w:val="24"/>
          <w:szCs w:val="24"/>
          <w:highlight w:val="none"/>
          <w:u w:val="single" w:color="auto"/>
          <w:lang w:val="en-US" w:eastAsia="zh-CN"/>
        </w:rPr>
        <w:t>根据苏财购【2020】52号建立政府采购资金预付款制度的相关规定，在签订合同时，供应商明确表示无需预付款或者主动要求降低预付款比例的，采购单位可不适用前述规定。</w:t>
      </w:r>
    </w:p>
    <w:p w14:paraId="78E2D4A9">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360" w:lineRule="auto"/>
        <w:ind w:firstLine="499"/>
        <w:contextualSpacing/>
        <w:rPr>
          <w:rFonts w:ascii="宋体" w:hAnsi="宋体" w:cs="宋体"/>
          <w:color w:val="000000" w:themeColor="text1"/>
          <w:highlight w:val="none"/>
          <w14:textFill>
            <w14:solidFill>
              <w14:schemeClr w14:val="tx1"/>
            </w14:solidFill>
          </w14:textFill>
        </w:rPr>
      </w:pPr>
      <w:r>
        <w:rPr>
          <w:rFonts w:ascii="宋体" w:hAnsi="宋体" w:cs="宋体"/>
          <w:b/>
          <w:color w:val="000000" w:themeColor="text1"/>
          <w:spacing w:val="7"/>
          <w:sz w:val="24"/>
          <w:highlight w:val="none"/>
          <w14:textFill>
            <w14:solidFill>
              <w14:schemeClr w14:val="tx1"/>
            </w14:solidFill>
          </w14:textFill>
        </w:rPr>
        <w:t>3 投标货币</w:t>
      </w:r>
    </w:p>
    <w:p w14:paraId="66FFE7A3">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360" w:lineRule="auto"/>
        <w:ind w:firstLine="499"/>
        <w:contextualSpacing/>
        <w:rPr>
          <w:rFonts w:ascii="宋体" w:hAnsi="宋体" w:cs="宋体"/>
          <w:color w:val="000000" w:themeColor="text1"/>
          <w:highlight w:val="none"/>
          <w14:textFill>
            <w14:solidFill>
              <w14:schemeClr w14:val="tx1"/>
            </w14:solidFill>
          </w14:textFill>
        </w:rPr>
      </w:pPr>
      <w:r>
        <w:rPr>
          <w:rFonts w:ascii="宋体" w:hAnsi="宋体" w:cs="宋体"/>
          <w:i/>
          <w:color w:val="000000" w:themeColor="text1"/>
          <w:spacing w:val="7"/>
          <w:sz w:val="24"/>
          <w:highlight w:val="none"/>
          <w:u w:val="single"/>
          <w14:textFill>
            <w14:solidFill>
              <w14:schemeClr w14:val="tx1"/>
            </w14:solidFill>
          </w14:textFill>
        </w:rPr>
        <w:t>3.1、投标货币</w:t>
      </w:r>
    </w:p>
    <w:p w14:paraId="7E441F35">
      <w:pPr>
        <w:keepNext w:val="0"/>
        <w:keepLines w:val="0"/>
        <w:pageBreakBefore w:val="0"/>
        <w:widowControl w:val="0"/>
        <w:pBdr>
          <w:top w:val="none" w:color="000000" w:sz="0" w:space="0"/>
          <w:left w:val="none" w:color="000000" w:sz="0" w:space="0"/>
          <w:bottom w:val="none" w:color="000000" w:sz="0" w:space="0"/>
          <w:right w:val="none" w:color="000000" w:sz="0" w:space="0"/>
        </w:pBdr>
        <w:shd w:val="clear"/>
        <w:spacing w:line="360" w:lineRule="auto"/>
        <w:ind w:firstLine="499"/>
        <w:contextualSpacing/>
        <w:rPr>
          <w:rFonts w:ascii="宋体" w:hAnsi="宋体" w:cs="宋体"/>
          <w:color w:val="000000" w:themeColor="text1"/>
          <w:highlight w:val="none"/>
          <w14:textFill>
            <w14:solidFill>
              <w14:schemeClr w14:val="tx1"/>
            </w14:solidFill>
          </w14:textFill>
        </w:rPr>
      </w:pPr>
      <w:r>
        <w:rPr>
          <w:rFonts w:ascii="宋体" w:hAnsi="宋体" w:cs="宋体"/>
          <w:i/>
          <w:color w:val="000000" w:themeColor="text1"/>
          <w:spacing w:val="7"/>
          <w:sz w:val="24"/>
          <w:highlight w:val="none"/>
          <w:u w:val="single"/>
          <w14:textFill>
            <w14:solidFill>
              <w14:schemeClr w14:val="tx1"/>
            </w14:solidFill>
          </w14:textFill>
        </w:rPr>
        <w:t>人民币</w:t>
      </w:r>
    </w:p>
    <w:p w14:paraId="7E2514E9">
      <w:pPr>
        <w:shd w:val="clear"/>
        <w:rPr>
          <w:rFonts w:hint="eastAsia" w:ascii="黑体" w:eastAsia="黑体"/>
          <w:b/>
          <w:bCs/>
          <w:color w:val="000000" w:themeColor="text1"/>
          <w:sz w:val="44"/>
          <w:highlight w:val="none"/>
          <w14:textFill>
            <w14:solidFill>
              <w14:schemeClr w14:val="tx1"/>
            </w14:solidFill>
          </w14:textFill>
        </w:rPr>
      </w:pPr>
      <w:r>
        <w:rPr>
          <w:rFonts w:hint="eastAsia" w:ascii="黑体" w:eastAsia="黑体"/>
          <w:b/>
          <w:bCs/>
          <w:color w:val="000000" w:themeColor="text1"/>
          <w:sz w:val="44"/>
          <w:highlight w:val="none"/>
          <w14:textFill>
            <w14:solidFill>
              <w14:schemeClr w14:val="tx1"/>
            </w14:solidFill>
          </w14:textFill>
        </w:rPr>
        <w:br w:type="page" w:clear="all"/>
      </w:r>
    </w:p>
    <w:p w14:paraId="643E4F1D">
      <w:pPr>
        <w:pStyle w:val="3"/>
        <w:keepNext/>
        <w:keepLines/>
        <w:pageBreakBefore w:val="0"/>
        <w:widowControl w:val="0"/>
        <w:kinsoku/>
        <w:wordWrap/>
        <w:overflowPunct/>
        <w:topLinePunct w:val="0"/>
        <w:autoSpaceDE/>
        <w:autoSpaceDN/>
        <w:bidi w:val="0"/>
        <w:adjustRightInd/>
        <w:snapToGrid/>
        <w:spacing w:before="0" w:after="0"/>
        <w:textAlignment w:val="auto"/>
        <w:rPr>
          <w:rFonts w:hint="default"/>
        </w:rPr>
      </w:pPr>
      <w:r>
        <w:rPr>
          <w:rFonts w:hint="eastAsia"/>
          <w:lang w:val="en-US" w:eastAsia="zh-CN"/>
        </w:rPr>
        <w:t>四、其他部分</w:t>
      </w:r>
    </w:p>
    <w:p w14:paraId="47C40E7F">
      <w:pPr>
        <w:pStyle w:val="5"/>
        <w:keepNext/>
        <w:keepLines/>
        <w:pageBreakBefore w:val="0"/>
        <w:widowControl w:val="0"/>
        <w:kinsoku/>
        <w:wordWrap/>
        <w:overflowPunct/>
        <w:topLinePunct w:val="0"/>
        <w:autoSpaceDE/>
        <w:autoSpaceDN/>
        <w:bidi w:val="0"/>
        <w:adjustRightInd/>
        <w:snapToGrid/>
        <w:spacing w:before="0" w:after="0"/>
        <w:textAlignment w:val="auto"/>
        <w:rPr>
          <w:rFonts w:hint="eastAsia" w:ascii="宋体" w:hAnsi="宋体" w:eastAsia="宋体" w:cs="宋体"/>
          <w:b/>
          <w:bCs/>
        </w:rPr>
      </w:pPr>
      <w:r>
        <w:rPr>
          <w:rFonts w:hint="eastAsia" w:ascii="宋体" w:hAnsi="宋体" w:cs="宋体"/>
          <w:lang w:val="en-US" w:eastAsia="zh-CN"/>
        </w:rPr>
        <w:t>（</w:t>
      </w:r>
      <w:r>
        <w:rPr>
          <w:rFonts w:hint="eastAsia" w:ascii="宋体" w:hAnsi="宋体" w:eastAsia="宋体" w:cs="宋体"/>
          <w:lang w:val="en-US" w:eastAsia="zh-CN"/>
        </w:rPr>
        <w:t>一</w:t>
      </w:r>
      <w:r>
        <w:rPr>
          <w:rFonts w:hint="eastAsia" w:ascii="宋体" w:hAnsi="宋体" w:cs="宋体"/>
          <w:lang w:val="en-US" w:eastAsia="zh-CN"/>
        </w:rPr>
        <w:t>）</w:t>
      </w:r>
      <w:r>
        <w:rPr>
          <w:rFonts w:hint="eastAsia" w:ascii="宋体" w:hAnsi="宋体" w:eastAsia="宋体" w:cs="宋体"/>
        </w:rPr>
        <w:t>各地块单价最高限价清单</w:t>
      </w:r>
    </w:p>
    <w:p w14:paraId="7D37E618">
      <w:pPr>
        <w:spacing w:line="121" w:lineRule="exact"/>
      </w:pPr>
    </w:p>
    <w:tbl>
      <w:tblPr>
        <w:tblStyle w:val="640"/>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1"/>
        <w:gridCol w:w="2151"/>
        <w:gridCol w:w="964"/>
        <w:gridCol w:w="1065"/>
        <w:gridCol w:w="1545"/>
        <w:gridCol w:w="1271"/>
        <w:gridCol w:w="2070"/>
      </w:tblGrid>
      <w:tr w14:paraId="0EF2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3DAE2F98">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序号</w:t>
            </w:r>
          </w:p>
        </w:tc>
        <w:tc>
          <w:tcPr>
            <w:tcW w:w="2151" w:type="dxa"/>
            <w:vAlign w:val="center"/>
          </w:tcPr>
          <w:p w14:paraId="65C2416C">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绿地</w:t>
            </w:r>
            <w:r>
              <w:rPr>
                <w:rFonts w:hint="eastAsia" w:ascii="宋体" w:hAnsi="宋体" w:eastAsia="宋体" w:cs="宋体"/>
                <w:spacing w:val="-3"/>
                <w:sz w:val="21"/>
                <w:szCs w:val="21"/>
                <w:highlight w:val="none"/>
                <w:lang w:val="en-US" w:eastAsia="zh-CN"/>
              </w:rPr>
              <w:t>名</w:t>
            </w:r>
            <w:r>
              <w:rPr>
                <w:rFonts w:hint="eastAsia" w:ascii="宋体" w:hAnsi="宋体" w:eastAsia="宋体" w:cs="宋体"/>
                <w:spacing w:val="-3"/>
                <w:sz w:val="21"/>
                <w:szCs w:val="21"/>
                <w:highlight w:val="none"/>
              </w:rPr>
              <w:t>称</w:t>
            </w:r>
          </w:p>
        </w:tc>
        <w:tc>
          <w:tcPr>
            <w:tcW w:w="964" w:type="dxa"/>
            <w:vAlign w:val="center"/>
          </w:tcPr>
          <w:p w14:paraId="47E7A462">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单位</w:t>
            </w:r>
          </w:p>
        </w:tc>
        <w:tc>
          <w:tcPr>
            <w:tcW w:w="1065" w:type="dxa"/>
            <w:vAlign w:val="center"/>
          </w:tcPr>
          <w:p w14:paraId="1B752D9C">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数量</w:t>
            </w:r>
          </w:p>
        </w:tc>
        <w:tc>
          <w:tcPr>
            <w:tcW w:w="1545" w:type="dxa"/>
            <w:vAlign w:val="center"/>
          </w:tcPr>
          <w:p w14:paraId="32AEF89B">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绿地类别</w:t>
            </w:r>
          </w:p>
        </w:tc>
        <w:tc>
          <w:tcPr>
            <w:tcW w:w="1271" w:type="dxa"/>
            <w:vAlign w:val="center"/>
          </w:tcPr>
          <w:p w14:paraId="00E7FAE2">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val="0"/>
                <w:bCs w:val="0"/>
                <w:spacing w:val="-3"/>
                <w:sz w:val="21"/>
                <w:szCs w:val="21"/>
                <w:highlight w:val="none"/>
              </w:rPr>
            </w:pPr>
            <w:r>
              <w:rPr>
                <w:rFonts w:hint="eastAsia" w:ascii="宋体" w:hAnsi="宋体" w:eastAsia="宋体" w:cs="宋体"/>
                <w:b w:val="0"/>
                <w:bCs w:val="0"/>
                <w:spacing w:val="-3"/>
                <w:sz w:val="21"/>
                <w:szCs w:val="21"/>
                <w:highlight w:val="none"/>
                <w:lang w:val="en-US" w:eastAsia="zh-CN"/>
              </w:rPr>
              <w:t>最高限</w:t>
            </w:r>
            <w:r>
              <w:rPr>
                <w:rFonts w:hint="eastAsia" w:ascii="宋体" w:hAnsi="宋体" w:eastAsia="宋体" w:cs="宋体"/>
                <w:b w:val="0"/>
                <w:bCs w:val="0"/>
                <w:spacing w:val="-3"/>
                <w:sz w:val="21"/>
                <w:szCs w:val="21"/>
                <w:highlight w:val="none"/>
              </w:rPr>
              <w:t>价</w:t>
            </w:r>
          </w:p>
          <w:p w14:paraId="62EF93CC">
            <w:pPr>
              <w:pStyle w:val="316"/>
              <w:keepNext w:val="0"/>
              <w:keepLines w:val="0"/>
              <w:pageBreakBefore w:val="0"/>
              <w:widowControl/>
              <w:kinsoku/>
              <w:wordWrap/>
              <w:overflowPunct/>
              <w:topLinePunct w:val="0"/>
              <w:autoSpaceDE/>
              <w:autoSpaceDN/>
              <w:bidi w:val="0"/>
              <w:adjustRightInd/>
              <w:snapToGrid/>
              <w:spacing w:before="0" w:after="0" w:line="240" w:lineRule="auto"/>
              <w:ind w:right="70"/>
              <w:jc w:val="center"/>
              <w:textAlignment w:val="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（元</w:t>
            </w:r>
            <w:r>
              <w:rPr>
                <w:rFonts w:hint="eastAsia" w:ascii="宋体" w:hAnsi="宋体" w:eastAsia="宋体" w:cs="宋体"/>
                <w:spacing w:val="-5"/>
                <w:sz w:val="21"/>
                <w:szCs w:val="21"/>
                <w:highlight w:val="none"/>
              </w:rPr>
              <w:t>/㎡/年）</w:t>
            </w:r>
          </w:p>
        </w:tc>
        <w:tc>
          <w:tcPr>
            <w:tcW w:w="2070" w:type="dxa"/>
            <w:vAlign w:val="center"/>
          </w:tcPr>
          <w:p w14:paraId="694A7372">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备注</w:t>
            </w:r>
          </w:p>
        </w:tc>
      </w:tr>
      <w:tr w14:paraId="7E531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47992A03">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w:t>
            </w:r>
          </w:p>
        </w:tc>
        <w:tc>
          <w:tcPr>
            <w:tcW w:w="2151" w:type="dxa"/>
            <w:vAlign w:val="center"/>
          </w:tcPr>
          <w:p w14:paraId="1AA3D4CC">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工业区成片林</w:t>
            </w:r>
          </w:p>
        </w:tc>
        <w:tc>
          <w:tcPr>
            <w:tcW w:w="964" w:type="dxa"/>
            <w:vAlign w:val="center"/>
          </w:tcPr>
          <w:p w14:paraId="111A9489">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平方米</w:t>
            </w:r>
          </w:p>
        </w:tc>
        <w:tc>
          <w:tcPr>
            <w:tcW w:w="1065" w:type="dxa"/>
            <w:vAlign w:val="center"/>
          </w:tcPr>
          <w:p w14:paraId="5BAA27E6">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19143</w:t>
            </w:r>
          </w:p>
        </w:tc>
        <w:tc>
          <w:tcPr>
            <w:tcW w:w="1545" w:type="dxa"/>
            <w:vAlign w:val="center"/>
          </w:tcPr>
          <w:p w14:paraId="2D7D0EF7">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成片林地</w:t>
            </w:r>
          </w:p>
        </w:tc>
        <w:tc>
          <w:tcPr>
            <w:tcW w:w="1271" w:type="dxa"/>
            <w:vAlign w:val="center"/>
          </w:tcPr>
          <w:p w14:paraId="3535451D">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0.90 </w:t>
            </w:r>
          </w:p>
        </w:tc>
        <w:tc>
          <w:tcPr>
            <w:tcW w:w="2070" w:type="dxa"/>
            <w:vAlign w:val="center"/>
          </w:tcPr>
          <w:p w14:paraId="6EFA901C">
            <w:pPr>
              <w:jc w:val="center"/>
              <w:rPr>
                <w:rFonts w:hint="eastAsia" w:ascii="宋体" w:hAnsi="宋体" w:eastAsia="宋体" w:cs="宋体"/>
                <w:spacing w:val="-4"/>
                <w:sz w:val="21"/>
                <w:szCs w:val="21"/>
                <w:highlight w:val="none"/>
              </w:rPr>
            </w:pPr>
          </w:p>
        </w:tc>
      </w:tr>
      <w:tr w14:paraId="23791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Merge w:val="restart"/>
            <w:vAlign w:val="center"/>
          </w:tcPr>
          <w:p w14:paraId="4F44CCC8">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2</w:t>
            </w:r>
          </w:p>
        </w:tc>
        <w:tc>
          <w:tcPr>
            <w:tcW w:w="2151" w:type="dxa"/>
            <w:vMerge w:val="restart"/>
            <w:vAlign w:val="center"/>
          </w:tcPr>
          <w:p w14:paraId="74EA9D47">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管理区大院</w:t>
            </w:r>
          </w:p>
        </w:tc>
        <w:tc>
          <w:tcPr>
            <w:tcW w:w="964" w:type="dxa"/>
            <w:vAlign w:val="center"/>
          </w:tcPr>
          <w:p w14:paraId="59F65DA1">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73759D24">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5200</w:t>
            </w:r>
          </w:p>
        </w:tc>
        <w:tc>
          <w:tcPr>
            <w:tcW w:w="1545" w:type="dxa"/>
            <w:vAlign w:val="center"/>
          </w:tcPr>
          <w:p w14:paraId="648B1938">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景观绿地</w:t>
            </w:r>
          </w:p>
        </w:tc>
        <w:tc>
          <w:tcPr>
            <w:tcW w:w="1271" w:type="dxa"/>
            <w:vAlign w:val="center"/>
          </w:tcPr>
          <w:p w14:paraId="366C96B1">
            <w:pPr>
              <w:keepNext w:val="0"/>
              <w:keepLines w:val="0"/>
              <w:widowControl/>
              <w:suppressLineNumbers w:val="0"/>
              <w:jc w:val="center"/>
              <w:textAlignment w:val="center"/>
              <w:rPr>
                <w:rFonts w:hint="eastAsia" w:ascii="宋体" w:hAnsi="宋体" w:eastAsia="宋体" w:cs="宋体"/>
                <w:color w:val="auto"/>
                <w:spacing w:val="-16"/>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2.00 </w:t>
            </w:r>
          </w:p>
        </w:tc>
        <w:tc>
          <w:tcPr>
            <w:tcW w:w="2070" w:type="dxa"/>
            <w:vAlign w:val="center"/>
          </w:tcPr>
          <w:p w14:paraId="0A5EACB2">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p>
        </w:tc>
      </w:tr>
      <w:tr w14:paraId="712C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Merge w:val="continue"/>
            <w:vAlign w:val="center"/>
          </w:tcPr>
          <w:p w14:paraId="3ED82335">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yellow"/>
                <w:lang w:val="en-US" w:eastAsia="zh-CN"/>
              </w:rPr>
            </w:pPr>
          </w:p>
        </w:tc>
        <w:tc>
          <w:tcPr>
            <w:tcW w:w="2151" w:type="dxa"/>
            <w:vMerge w:val="continue"/>
            <w:vAlign w:val="center"/>
          </w:tcPr>
          <w:p w14:paraId="7DD217A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964" w:type="dxa"/>
            <w:vAlign w:val="center"/>
          </w:tcPr>
          <w:p w14:paraId="520E2422">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cs="宋体"/>
                <w:color w:val="auto"/>
                <w:spacing w:val="-3"/>
                <w:sz w:val="21"/>
                <w:szCs w:val="21"/>
                <w:highlight w:val="none"/>
                <w:lang w:val="en-US" w:eastAsia="zh-CN"/>
              </w:rPr>
              <w:t>项</w:t>
            </w:r>
          </w:p>
        </w:tc>
        <w:tc>
          <w:tcPr>
            <w:tcW w:w="1065" w:type="dxa"/>
            <w:vAlign w:val="center"/>
          </w:tcPr>
          <w:p w14:paraId="108F3C52">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1545" w:type="dxa"/>
            <w:vAlign w:val="center"/>
          </w:tcPr>
          <w:p w14:paraId="2DF134F5">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绿化氛围布置</w:t>
            </w:r>
          </w:p>
        </w:tc>
        <w:tc>
          <w:tcPr>
            <w:tcW w:w="1271" w:type="dxa"/>
            <w:vAlign w:val="center"/>
          </w:tcPr>
          <w:p w14:paraId="621ECD58">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10000元/年</w:t>
            </w:r>
          </w:p>
        </w:tc>
        <w:tc>
          <w:tcPr>
            <w:tcW w:w="2070" w:type="dxa"/>
            <w:vAlign w:val="center"/>
          </w:tcPr>
          <w:p w14:paraId="0EAB76A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暂估不可竞争</w:t>
            </w:r>
          </w:p>
        </w:tc>
      </w:tr>
      <w:tr w14:paraId="5FBDC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242B2BEA">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3</w:t>
            </w:r>
          </w:p>
        </w:tc>
        <w:tc>
          <w:tcPr>
            <w:tcW w:w="2151" w:type="dxa"/>
            <w:vAlign w:val="center"/>
          </w:tcPr>
          <w:p w14:paraId="2DA475E2">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街心公园</w:t>
            </w:r>
          </w:p>
        </w:tc>
        <w:tc>
          <w:tcPr>
            <w:tcW w:w="964" w:type="dxa"/>
            <w:vAlign w:val="center"/>
          </w:tcPr>
          <w:p w14:paraId="09AB6E9F">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4C64250D">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8004</w:t>
            </w:r>
          </w:p>
        </w:tc>
        <w:tc>
          <w:tcPr>
            <w:tcW w:w="1545" w:type="dxa"/>
            <w:vAlign w:val="center"/>
          </w:tcPr>
          <w:p w14:paraId="73E11239">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公园绿地</w:t>
            </w:r>
          </w:p>
        </w:tc>
        <w:tc>
          <w:tcPr>
            <w:tcW w:w="1271" w:type="dxa"/>
            <w:vAlign w:val="center"/>
          </w:tcPr>
          <w:p w14:paraId="2D459C43">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1.60 </w:t>
            </w:r>
          </w:p>
        </w:tc>
        <w:tc>
          <w:tcPr>
            <w:tcW w:w="2070" w:type="dxa"/>
            <w:vAlign w:val="center"/>
          </w:tcPr>
          <w:p w14:paraId="13FBB9EC">
            <w:pPr>
              <w:jc w:val="center"/>
              <w:rPr>
                <w:rFonts w:hint="eastAsia" w:ascii="宋体" w:hAnsi="宋体" w:eastAsia="宋体" w:cs="宋体"/>
                <w:spacing w:val="-4"/>
                <w:sz w:val="21"/>
                <w:szCs w:val="21"/>
                <w:highlight w:val="none"/>
              </w:rPr>
            </w:pPr>
          </w:p>
        </w:tc>
      </w:tr>
      <w:tr w14:paraId="4B49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4C74570C">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4</w:t>
            </w:r>
          </w:p>
        </w:tc>
        <w:tc>
          <w:tcPr>
            <w:tcW w:w="2151" w:type="dxa"/>
            <w:vAlign w:val="center"/>
          </w:tcPr>
          <w:p w14:paraId="0BA574A6">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健康小区</w:t>
            </w:r>
          </w:p>
        </w:tc>
        <w:tc>
          <w:tcPr>
            <w:tcW w:w="964" w:type="dxa"/>
            <w:vAlign w:val="center"/>
          </w:tcPr>
          <w:p w14:paraId="2887E4C8">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734B8645">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2500</w:t>
            </w:r>
          </w:p>
        </w:tc>
        <w:tc>
          <w:tcPr>
            <w:tcW w:w="1545" w:type="dxa"/>
            <w:vAlign w:val="center"/>
          </w:tcPr>
          <w:p w14:paraId="70ECEBA3">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景观绿地</w:t>
            </w:r>
          </w:p>
        </w:tc>
        <w:tc>
          <w:tcPr>
            <w:tcW w:w="1271" w:type="dxa"/>
            <w:vAlign w:val="center"/>
          </w:tcPr>
          <w:p w14:paraId="55C7D26F">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1.60 </w:t>
            </w:r>
          </w:p>
        </w:tc>
        <w:tc>
          <w:tcPr>
            <w:tcW w:w="2070" w:type="dxa"/>
            <w:vAlign w:val="center"/>
          </w:tcPr>
          <w:p w14:paraId="45F88191">
            <w:pPr>
              <w:jc w:val="center"/>
              <w:rPr>
                <w:rFonts w:hint="eastAsia" w:ascii="宋体" w:hAnsi="宋体" w:eastAsia="宋体" w:cs="宋体"/>
                <w:spacing w:val="-4"/>
                <w:sz w:val="21"/>
                <w:szCs w:val="21"/>
                <w:highlight w:val="none"/>
              </w:rPr>
            </w:pPr>
          </w:p>
        </w:tc>
      </w:tr>
      <w:tr w14:paraId="38B36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74617DAB">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5</w:t>
            </w:r>
          </w:p>
        </w:tc>
        <w:tc>
          <w:tcPr>
            <w:tcW w:w="2151" w:type="dxa"/>
            <w:vAlign w:val="center"/>
          </w:tcPr>
          <w:p w14:paraId="71F8A459">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禾丰佳苑</w:t>
            </w:r>
          </w:p>
        </w:tc>
        <w:tc>
          <w:tcPr>
            <w:tcW w:w="964" w:type="dxa"/>
            <w:vAlign w:val="center"/>
          </w:tcPr>
          <w:p w14:paraId="7F0F334E">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329496F9">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33292</w:t>
            </w:r>
          </w:p>
        </w:tc>
        <w:tc>
          <w:tcPr>
            <w:tcW w:w="1545" w:type="dxa"/>
            <w:vAlign w:val="center"/>
          </w:tcPr>
          <w:p w14:paraId="7FFB5DB4">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景观绿地</w:t>
            </w:r>
          </w:p>
        </w:tc>
        <w:tc>
          <w:tcPr>
            <w:tcW w:w="1271" w:type="dxa"/>
            <w:vAlign w:val="center"/>
          </w:tcPr>
          <w:p w14:paraId="2B35833F">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1.90 </w:t>
            </w:r>
          </w:p>
        </w:tc>
        <w:tc>
          <w:tcPr>
            <w:tcW w:w="2070" w:type="dxa"/>
            <w:vAlign w:val="center"/>
          </w:tcPr>
          <w:p w14:paraId="5A20B64E">
            <w:pPr>
              <w:jc w:val="center"/>
              <w:rPr>
                <w:rFonts w:hint="eastAsia" w:ascii="宋体" w:hAnsi="宋体" w:eastAsia="宋体" w:cs="宋体"/>
                <w:spacing w:val="-4"/>
                <w:sz w:val="21"/>
                <w:szCs w:val="21"/>
                <w:highlight w:val="none"/>
              </w:rPr>
            </w:pPr>
          </w:p>
        </w:tc>
      </w:tr>
      <w:tr w14:paraId="686C8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2DEA34CD">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6</w:t>
            </w:r>
          </w:p>
        </w:tc>
        <w:tc>
          <w:tcPr>
            <w:tcW w:w="2151" w:type="dxa"/>
            <w:vAlign w:val="center"/>
          </w:tcPr>
          <w:p w14:paraId="341FAF21">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农业综合服务中心</w:t>
            </w:r>
          </w:p>
        </w:tc>
        <w:tc>
          <w:tcPr>
            <w:tcW w:w="964" w:type="dxa"/>
            <w:vAlign w:val="center"/>
          </w:tcPr>
          <w:p w14:paraId="5346102B">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726B4AE7">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5130</w:t>
            </w:r>
          </w:p>
        </w:tc>
        <w:tc>
          <w:tcPr>
            <w:tcW w:w="1545" w:type="dxa"/>
            <w:vAlign w:val="center"/>
          </w:tcPr>
          <w:p w14:paraId="7680783A">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景观绿地</w:t>
            </w:r>
          </w:p>
        </w:tc>
        <w:tc>
          <w:tcPr>
            <w:tcW w:w="1271" w:type="dxa"/>
            <w:vAlign w:val="center"/>
          </w:tcPr>
          <w:p w14:paraId="5BC77E83">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1.50 </w:t>
            </w:r>
          </w:p>
        </w:tc>
        <w:tc>
          <w:tcPr>
            <w:tcW w:w="2070" w:type="dxa"/>
            <w:vAlign w:val="center"/>
          </w:tcPr>
          <w:p w14:paraId="76654A62">
            <w:pPr>
              <w:jc w:val="center"/>
              <w:rPr>
                <w:rFonts w:hint="eastAsia" w:ascii="宋体" w:hAnsi="宋体" w:eastAsia="宋体" w:cs="宋体"/>
                <w:spacing w:val="-4"/>
                <w:sz w:val="21"/>
                <w:szCs w:val="21"/>
                <w:highlight w:val="none"/>
              </w:rPr>
            </w:pPr>
          </w:p>
        </w:tc>
      </w:tr>
      <w:tr w14:paraId="0CCD3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3CBE460E">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7</w:t>
            </w:r>
          </w:p>
        </w:tc>
        <w:tc>
          <w:tcPr>
            <w:tcW w:w="2151" w:type="dxa"/>
            <w:vAlign w:val="center"/>
          </w:tcPr>
          <w:p w14:paraId="32563E21">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迎宾路</w:t>
            </w:r>
          </w:p>
        </w:tc>
        <w:tc>
          <w:tcPr>
            <w:tcW w:w="964" w:type="dxa"/>
            <w:vAlign w:val="center"/>
          </w:tcPr>
          <w:p w14:paraId="5999029C">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47702A67">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12987</w:t>
            </w:r>
          </w:p>
        </w:tc>
        <w:tc>
          <w:tcPr>
            <w:tcW w:w="1545" w:type="dxa"/>
            <w:vAlign w:val="center"/>
          </w:tcPr>
          <w:p w14:paraId="691B6F0B">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道路绿地</w:t>
            </w:r>
          </w:p>
        </w:tc>
        <w:tc>
          <w:tcPr>
            <w:tcW w:w="1271" w:type="dxa"/>
            <w:vAlign w:val="center"/>
          </w:tcPr>
          <w:p w14:paraId="3A6E31CF">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1.00 </w:t>
            </w:r>
          </w:p>
        </w:tc>
        <w:tc>
          <w:tcPr>
            <w:tcW w:w="2070" w:type="dxa"/>
            <w:vAlign w:val="center"/>
          </w:tcPr>
          <w:p w14:paraId="4F6964B1">
            <w:pPr>
              <w:jc w:val="center"/>
              <w:rPr>
                <w:rFonts w:hint="eastAsia" w:ascii="宋体" w:hAnsi="宋体" w:eastAsia="宋体" w:cs="宋体"/>
                <w:spacing w:val="-4"/>
                <w:sz w:val="21"/>
                <w:szCs w:val="21"/>
                <w:highlight w:val="none"/>
              </w:rPr>
            </w:pPr>
          </w:p>
        </w:tc>
      </w:tr>
      <w:tr w14:paraId="29279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3BD487CB">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8</w:t>
            </w:r>
          </w:p>
        </w:tc>
        <w:tc>
          <w:tcPr>
            <w:tcW w:w="2151" w:type="dxa"/>
            <w:vAlign w:val="center"/>
          </w:tcPr>
          <w:p w14:paraId="7098E246">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纵五路两侧与西侧片林</w:t>
            </w:r>
          </w:p>
        </w:tc>
        <w:tc>
          <w:tcPr>
            <w:tcW w:w="964" w:type="dxa"/>
            <w:vAlign w:val="center"/>
          </w:tcPr>
          <w:p w14:paraId="2A41C5F5">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1A1C0283">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15603</w:t>
            </w:r>
          </w:p>
        </w:tc>
        <w:tc>
          <w:tcPr>
            <w:tcW w:w="1545" w:type="dxa"/>
            <w:vAlign w:val="center"/>
          </w:tcPr>
          <w:p w14:paraId="18BB1DFA">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成片林地</w:t>
            </w:r>
          </w:p>
        </w:tc>
        <w:tc>
          <w:tcPr>
            <w:tcW w:w="1271" w:type="dxa"/>
            <w:vAlign w:val="center"/>
          </w:tcPr>
          <w:p w14:paraId="17DDAD13">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1.00 </w:t>
            </w:r>
          </w:p>
        </w:tc>
        <w:tc>
          <w:tcPr>
            <w:tcW w:w="2070" w:type="dxa"/>
            <w:vAlign w:val="center"/>
          </w:tcPr>
          <w:p w14:paraId="4A427C37">
            <w:pPr>
              <w:jc w:val="center"/>
              <w:rPr>
                <w:rFonts w:hint="eastAsia" w:ascii="宋体" w:hAnsi="宋体" w:eastAsia="宋体" w:cs="宋体"/>
                <w:spacing w:val="-4"/>
                <w:sz w:val="21"/>
                <w:szCs w:val="21"/>
                <w:highlight w:val="none"/>
              </w:rPr>
            </w:pPr>
          </w:p>
        </w:tc>
      </w:tr>
      <w:tr w14:paraId="7AD6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39E9F25C">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9</w:t>
            </w:r>
          </w:p>
        </w:tc>
        <w:tc>
          <w:tcPr>
            <w:tcW w:w="2151" w:type="dxa"/>
            <w:vAlign w:val="center"/>
          </w:tcPr>
          <w:p w14:paraId="47C0EA56">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永泰路两侧</w:t>
            </w:r>
          </w:p>
        </w:tc>
        <w:tc>
          <w:tcPr>
            <w:tcW w:w="964" w:type="dxa"/>
            <w:vAlign w:val="center"/>
          </w:tcPr>
          <w:p w14:paraId="4F5D6468">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601BDFE8">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37558</w:t>
            </w:r>
          </w:p>
        </w:tc>
        <w:tc>
          <w:tcPr>
            <w:tcW w:w="1545" w:type="dxa"/>
            <w:vAlign w:val="center"/>
          </w:tcPr>
          <w:p w14:paraId="47C7E3DF">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道路绿地</w:t>
            </w:r>
          </w:p>
        </w:tc>
        <w:tc>
          <w:tcPr>
            <w:tcW w:w="1271" w:type="dxa"/>
            <w:vAlign w:val="center"/>
          </w:tcPr>
          <w:p w14:paraId="5EA6E606">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1.00 </w:t>
            </w:r>
          </w:p>
        </w:tc>
        <w:tc>
          <w:tcPr>
            <w:tcW w:w="2070" w:type="dxa"/>
            <w:vAlign w:val="center"/>
          </w:tcPr>
          <w:p w14:paraId="4F89A610">
            <w:pPr>
              <w:jc w:val="center"/>
              <w:rPr>
                <w:rFonts w:hint="eastAsia" w:ascii="宋体" w:hAnsi="宋体" w:eastAsia="宋体" w:cs="宋体"/>
                <w:spacing w:val="-4"/>
                <w:sz w:val="21"/>
                <w:szCs w:val="21"/>
                <w:highlight w:val="none"/>
              </w:rPr>
            </w:pPr>
          </w:p>
        </w:tc>
      </w:tr>
      <w:tr w14:paraId="49ED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217B5887">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10</w:t>
            </w:r>
          </w:p>
        </w:tc>
        <w:tc>
          <w:tcPr>
            <w:tcW w:w="2151" w:type="dxa"/>
            <w:vAlign w:val="center"/>
          </w:tcPr>
          <w:p w14:paraId="62B5C38F">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永泰路新路两侧</w:t>
            </w:r>
          </w:p>
        </w:tc>
        <w:tc>
          <w:tcPr>
            <w:tcW w:w="964" w:type="dxa"/>
            <w:vAlign w:val="center"/>
          </w:tcPr>
          <w:p w14:paraId="6B3B25B3">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16BA3D2E">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42737</w:t>
            </w:r>
          </w:p>
        </w:tc>
        <w:tc>
          <w:tcPr>
            <w:tcW w:w="1545" w:type="dxa"/>
            <w:vAlign w:val="center"/>
          </w:tcPr>
          <w:p w14:paraId="22284302">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道路绿地</w:t>
            </w:r>
          </w:p>
        </w:tc>
        <w:tc>
          <w:tcPr>
            <w:tcW w:w="1271" w:type="dxa"/>
            <w:vAlign w:val="center"/>
          </w:tcPr>
          <w:p w14:paraId="70AB13BD">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1.00 </w:t>
            </w:r>
          </w:p>
        </w:tc>
        <w:tc>
          <w:tcPr>
            <w:tcW w:w="2070" w:type="dxa"/>
            <w:vAlign w:val="center"/>
          </w:tcPr>
          <w:p w14:paraId="115FF61A">
            <w:pPr>
              <w:jc w:val="center"/>
              <w:rPr>
                <w:rFonts w:hint="eastAsia" w:ascii="宋体" w:hAnsi="宋体" w:eastAsia="宋体" w:cs="宋体"/>
                <w:spacing w:val="-4"/>
                <w:sz w:val="21"/>
                <w:szCs w:val="21"/>
                <w:highlight w:val="none"/>
              </w:rPr>
            </w:pPr>
          </w:p>
        </w:tc>
      </w:tr>
      <w:tr w14:paraId="7D19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30E5F9A9">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11</w:t>
            </w:r>
          </w:p>
        </w:tc>
        <w:tc>
          <w:tcPr>
            <w:tcW w:w="2151" w:type="dxa"/>
            <w:vAlign w:val="center"/>
          </w:tcPr>
          <w:p w14:paraId="2401CA03">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港丰公路两侧</w:t>
            </w:r>
          </w:p>
        </w:tc>
        <w:tc>
          <w:tcPr>
            <w:tcW w:w="964" w:type="dxa"/>
            <w:vAlign w:val="center"/>
          </w:tcPr>
          <w:p w14:paraId="0329CCF0">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6EC4FD7A">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6942</w:t>
            </w:r>
          </w:p>
        </w:tc>
        <w:tc>
          <w:tcPr>
            <w:tcW w:w="1545" w:type="dxa"/>
            <w:vAlign w:val="center"/>
          </w:tcPr>
          <w:p w14:paraId="15708825">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71" w:type="dxa"/>
            <w:vAlign w:val="center"/>
          </w:tcPr>
          <w:p w14:paraId="6B77B175">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1.40 </w:t>
            </w:r>
          </w:p>
        </w:tc>
        <w:tc>
          <w:tcPr>
            <w:tcW w:w="2070" w:type="dxa"/>
            <w:vAlign w:val="center"/>
          </w:tcPr>
          <w:p w14:paraId="426D8B68">
            <w:pPr>
              <w:jc w:val="center"/>
              <w:rPr>
                <w:rFonts w:hint="eastAsia" w:ascii="宋体" w:hAnsi="宋体" w:eastAsia="宋体" w:cs="宋体"/>
                <w:spacing w:val="-4"/>
                <w:sz w:val="21"/>
                <w:szCs w:val="21"/>
                <w:highlight w:val="none"/>
              </w:rPr>
            </w:pPr>
          </w:p>
        </w:tc>
      </w:tr>
      <w:tr w14:paraId="66F6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65A2D562">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12</w:t>
            </w:r>
          </w:p>
        </w:tc>
        <w:tc>
          <w:tcPr>
            <w:tcW w:w="2151" w:type="dxa"/>
            <w:vAlign w:val="center"/>
          </w:tcPr>
          <w:p w14:paraId="1B0724C5">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人民路两侧</w:t>
            </w:r>
          </w:p>
        </w:tc>
        <w:tc>
          <w:tcPr>
            <w:tcW w:w="964" w:type="dxa"/>
            <w:vAlign w:val="center"/>
          </w:tcPr>
          <w:p w14:paraId="39F447E8">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375FF339">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10685</w:t>
            </w:r>
          </w:p>
        </w:tc>
        <w:tc>
          <w:tcPr>
            <w:tcW w:w="1545" w:type="dxa"/>
            <w:vAlign w:val="center"/>
          </w:tcPr>
          <w:p w14:paraId="256B15E7">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71" w:type="dxa"/>
            <w:vAlign w:val="center"/>
          </w:tcPr>
          <w:p w14:paraId="224C0920">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1.20 </w:t>
            </w:r>
          </w:p>
        </w:tc>
        <w:tc>
          <w:tcPr>
            <w:tcW w:w="2070" w:type="dxa"/>
            <w:vAlign w:val="center"/>
          </w:tcPr>
          <w:p w14:paraId="2199A4B0">
            <w:pPr>
              <w:jc w:val="center"/>
              <w:rPr>
                <w:rFonts w:hint="eastAsia" w:ascii="宋体" w:hAnsi="宋体" w:eastAsia="宋体" w:cs="宋体"/>
                <w:spacing w:val="-4"/>
                <w:sz w:val="21"/>
                <w:szCs w:val="21"/>
                <w:highlight w:val="none"/>
              </w:rPr>
            </w:pPr>
          </w:p>
        </w:tc>
      </w:tr>
      <w:tr w14:paraId="70272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5BF446B5">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13</w:t>
            </w:r>
          </w:p>
        </w:tc>
        <w:tc>
          <w:tcPr>
            <w:tcW w:w="2151" w:type="dxa"/>
            <w:vAlign w:val="center"/>
          </w:tcPr>
          <w:p w14:paraId="2836A67B">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人民路延伸段</w:t>
            </w:r>
          </w:p>
        </w:tc>
        <w:tc>
          <w:tcPr>
            <w:tcW w:w="964" w:type="dxa"/>
            <w:vAlign w:val="center"/>
          </w:tcPr>
          <w:p w14:paraId="46DF8C34">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株</w:t>
            </w:r>
          </w:p>
        </w:tc>
        <w:tc>
          <w:tcPr>
            <w:tcW w:w="1065" w:type="dxa"/>
            <w:vAlign w:val="center"/>
          </w:tcPr>
          <w:p w14:paraId="6784810A">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386</w:t>
            </w:r>
          </w:p>
        </w:tc>
        <w:tc>
          <w:tcPr>
            <w:tcW w:w="1545" w:type="dxa"/>
            <w:vAlign w:val="center"/>
          </w:tcPr>
          <w:p w14:paraId="47C422D3">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行道树</w:t>
            </w:r>
          </w:p>
        </w:tc>
        <w:tc>
          <w:tcPr>
            <w:tcW w:w="1271" w:type="dxa"/>
            <w:vAlign w:val="center"/>
          </w:tcPr>
          <w:p w14:paraId="61C7F532">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20.00 </w:t>
            </w:r>
          </w:p>
        </w:tc>
        <w:tc>
          <w:tcPr>
            <w:tcW w:w="2070" w:type="dxa"/>
            <w:vAlign w:val="center"/>
          </w:tcPr>
          <w:p w14:paraId="715D5D82">
            <w:pPr>
              <w:jc w:val="center"/>
              <w:rPr>
                <w:rFonts w:hint="eastAsia" w:ascii="宋体" w:hAnsi="宋体" w:eastAsia="宋体" w:cs="宋体"/>
                <w:spacing w:val="-4"/>
                <w:sz w:val="21"/>
                <w:szCs w:val="21"/>
                <w:highlight w:val="none"/>
              </w:rPr>
            </w:pPr>
          </w:p>
        </w:tc>
      </w:tr>
      <w:tr w14:paraId="2FB1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768D6048">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14</w:t>
            </w:r>
          </w:p>
        </w:tc>
        <w:tc>
          <w:tcPr>
            <w:tcW w:w="2151" w:type="dxa"/>
            <w:vAlign w:val="center"/>
          </w:tcPr>
          <w:p w14:paraId="40EDCB61">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通运路两侧</w:t>
            </w:r>
          </w:p>
        </w:tc>
        <w:tc>
          <w:tcPr>
            <w:tcW w:w="964" w:type="dxa"/>
            <w:vAlign w:val="center"/>
          </w:tcPr>
          <w:p w14:paraId="6A0649A2">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5F5FF57F">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36619</w:t>
            </w:r>
          </w:p>
        </w:tc>
        <w:tc>
          <w:tcPr>
            <w:tcW w:w="1545" w:type="dxa"/>
            <w:vAlign w:val="center"/>
          </w:tcPr>
          <w:p w14:paraId="363F14C3">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71" w:type="dxa"/>
            <w:vAlign w:val="center"/>
          </w:tcPr>
          <w:p w14:paraId="298A8EF0">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1.00 </w:t>
            </w:r>
          </w:p>
        </w:tc>
        <w:tc>
          <w:tcPr>
            <w:tcW w:w="2070" w:type="dxa"/>
            <w:vAlign w:val="center"/>
          </w:tcPr>
          <w:p w14:paraId="2C1F3642">
            <w:pPr>
              <w:jc w:val="center"/>
              <w:rPr>
                <w:rFonts w:hint="eastAsia" w:ascii="宋体" w:hAnsi="宋体" w:eastAsia="宋体" w:cs="宋体"/>
                <w:spacing w:val="-4"/>
                <w:sz w:val="21"/>
                <w:szCs w:val="21"/>
                <w:highlight w:val="none"/>
              </w:rPr>
            </w:pPr>
          </w:p>
        </w:tc>
      </w:tr>
      <w:tr w14:paraId="0056A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0D02C9E8">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15</w:t>
            </w:r>
          </w:p>
        </w:tc>
        <w:tc>
          <w:tcPr>
            <w:tcW w:w="2151" w:type="dxa"/>
            <w:vAlign w:val="center"/>
          </w:tcPr>
          <w:p w14:paraId="608B1CCA">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沿江公路两侧</w:t>
            </w:r>
          </w:p>
        </w:tc>
        <w:tc>
          <w:tcPr>
            <w:tcW w:w="964" w:type="dxa"/>
            <w:vAlign w:val="center"/>
          </w:tcPr>
          <w:p w14:paraId="230F3563">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0E1822D3">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225445</w:t>
            </w:r>
          </w:p>
        </w:tc>
        <w:tc>
          <w:tcPr>
            <w:tcW w:w="1545" w:type="dxa"/>
            <w:vAlign w:val="center"/>
          </w:tcPr>
          <w:p w14:paraId="7DB67EA3">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道路绿地</w:t>
            </w:r>
          </w:p>
        </w:tc>
        <w:tc>
          <w:tcPr>
            <w:tcW w:w="1271" w:type="dxa"/>
            <w:vAlign w:val="center"/>
          </w:tcPr>
          <w:p w14:paraId="78065DA8">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1.00 </w:t>
            </w:r>
          </w:p>
        </w:tc>
        <w:tc>
          <w:tcPr>
            <w:tcW w:w="2070" w:type="dxa"/>
            <w:vAlign w:val="center"/>
          </w:tcPr>
          <w:p w14:paraId="39B30F98">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含红旗路至常沙路、常西3D艺术村段草花养护及草籽追播</w:t>
            </w:r>
          </w:p>
        </w:tc>
      </w:tr>
      <w:tr w14:paraId="31E89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0378712E">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16</w:t>
            </w:r>
          </w:p>
        </w:tc>
        <w:tc>
          <w:tcPr>
            <w:tcW w:w="2151" w:type="dxa"/>
            <w:vAlign w:val="center"/>
          </w:tcPr>
          <w:p w14:paraId="2C6ACA93">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通江路两侧</w:t>
            </w:r>
          </w:p>
        </w:tc>
        <w:tc>
          <w:tcPr>
            <w:tcW w:w="964" w:type="dxa"/>
            <w:vAlign w:val="center"/>
          </w:tcPr>
          <w:p w14:paraId="1667459C">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629D424A">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33307</w:t>
            </w:r>
          </w:p>
        </w:tc>
        <w:tc>
          <w:tcPr>
            <w:tcW w:w="1545" w:type="dxa"/>
            <w:vAlign w:val="center"/>
          </w:tcPr>
          <w:p w14:paraId="1B35A3CF">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71" w:type="dxa"/>
            <w:vAlign w:val="center"/>
          </w:tcPr>
          <w:p w14:paraId="6B4BA308">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0.90 </w:t>
            </w:r>
          </w:p>
        </w:tc>
        <w:tc>
          <w:tcPr>
            <w:tcW w:w="2070" w:type="dxa"/>
            <w:vAlign w:val="center"/>
          </w:tcPr>
          <w:p w14:paraId="37FE1D16">
            <w:pPr>
              <w:jc w:val="center"/>
              <w:rPr>
                <w:rFonts w:hint="eastAsia" w:ascii="宋体" w:hAnsi="宋体" w:eastAsia="宋体" w:cs="宋体"/>
                <w:spacing w:val="-4"/>
                <w:sz w:val="21"/>
                <w:szCs w:val="21"/>
                <w:highlight w:val="none"/>
              </w:rPr>
            </w:pPr>
          </w:p>
        </w:tc>
      </w:tr>
      <w:tr w14:paraId="21D12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6F477B30">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17</w:t>
            </w:r>
          </w:p>
        </w:tc>
        <w:tc>
          <w:tcPr>
            <w:tcW w:w="2151" w:type="dxa"/>
            <w:vAlign w:val="center"/>
          </w:tcPr>
          <w:p w14:paraId="60DA9112">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红旗路两侧</w:t>
            </w:r>
          </w:p>
        </w:tc>
        <w:tc>
          <w:tcPr>
            <w:tcW w:w="964" w:type="dxa"/>
            <w:vAlign w:val="center"/>
          </w:tcPr>
          <w:p w14:paraId="46440150">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12BF4308">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30097</w:t>
            </w:r>
          </w:p>
        </w:tc>
        <w:tc>
          <w:tcPr>
            <w:tcW w:w="1545" w:type="dxa"/>
            <w:vAlign w:val="center"/>
          </w:tcPr>
          <w:p w14:paraId="02DAFBE9">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71" w:type="dxa"/>
            <w:vAlign w:val="center"/>
          </w:tcPr>
          <w:p w14:paraId="3A572FDD">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1.40 </w:t>
            </w:r>
          </w:p>
        </w:tc>
        <w:tc>
          <w:tcPr>
            <w:tcW w:w="2070" w:type="dxa"/>
            <w:vAlign w:val="center"/>
          </w:tcPr>
          <w:p w14:paraId="5A9BC07E">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含节点及小游园绿地，农场河至沿江公路段含河对面养护</w:t>
            </w:r>
          </w:p>
        </w:tc>
      </w:tr>
      <w:tr w14:paraId="2780E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496E4AD8">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18</w:t>
            </w:r>
          </w:p>
        </w:tc>
        <w:tc>
          <w:tcPr>
            <w:tcW w:w="2151" w:type="dxa"/>
            <w:vAlign w:val="center"/>
          </w:tcPr>
          <w:p w14:paraId="670EBCE9">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红旗中路、乐红路、建业路、鸿业路</w:t>
            </w:r>
          </w:p>
        </w:tc>
        <w:tc>
          <w:tcPr>
            <w:tcW w:w="964" w:type="dxa"/>
            <w:vAlign w:val="center"/>
          </w:tcPr>
          <w:p w14:paraId="1F2F6440">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株</w:t>
            </w:r>
          </w:p>
        </w:tc>
        <w:tc>
          <w:tcPr>
            <w:tcW w:w="1065" w:type="dxa"/>
            <w:vAlign w:val="center"/>
          </w:tcPr>
          <w:p w14:paraId="6D50565B">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845</w:t>
            </w:r>
          </w:p>
        </w:tc>
        <w:tc>
          <w:tcPr>
            <w:tcW w:w="1545" w:type="dxa"/>
            <w:vAlign w:val="center"/>
          </w:tcPr>
          <w:p w14:paraId="3F7D380C">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行道树</w:t>
            </w:r>
          </w:p>
        </w:tc>
        <w:tc>
          <w:tcPr>
            <w:tcW w:w="1271" w:type="dxa"/>
            <w:vAlign w:val="center"/>
          </w:tcPr>
          <w:p w14:paraId="775DC8A9">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20.00 </w:t>
            </w:r>
          </w:p>
        </w:tc>
        <w:tc>
          <w:tcPr>
            <w:tcW w:w="2070" w:type="dxa"/>
            <w:vAlign w:val="center"/>
          </w:tcPr>
          <w:p w14:paraId="0192320A">
            <w:pPr>
              <w:jc w:val="center"/>
              <w:rPr>
                <w:rFonts w:hint="eastAsia" w:ascii="宋体" w:hAnsi="宋体" w:eastAsia="宋体" w:cs="宋体"/>
                <w:spacing w:val="-4"/>
                <w:sz w:val="21"/>
                <w:szCs w:val="21"/>
                <w:highlight w:val="none"/>
              </w:rPr>
            </w:pPr>
          </w:p>
        </w:tc>
      </w:tr>
      <w:tr w14:paraId="2811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18256E10">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19</w:t>
            </w:r>
          </w:p>
        </w:tc>
        <w:tc>
          <w:tcPr>
            <w:tcW w:w="2151" w:type="dxa"/>
            <w:vAlign w:val="center"/>
          </w:tcPr>
          <w:p w14:paraId="2CF28811">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珠江路两侧</w:t>
            </w:r>
          </w:p>
        </w:tc>
        <w:tc>
          <w:tcPr>
            <w:tcW w:w="964" w:type="dxa"/>
            <w:vAlign w:val="center"/>
          </w:tcPr>
          <w:p w14:paraId="3C94546E">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7C2F8682">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39706</w:t>
            </w:r>
          </w:p>
        </w:tc>
        <w:tc>
          <w:tcPr>
            <w:tcW w:w="1545" w:type="dxa"/>
            <w:vAlign w:val="center"/>
          </w:tcPr>
          <w:p w14:paraId="15EA73AC">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71" w:type="dxa"/>
            <w:vAlign w:val="center"/>
          </w:tcPr>
          <w:p w14:paraId="7C0E18FB">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0.90 </w:t>
            </w:r>
          </w:p>
        </w:tc>
        <w:tc>
          <w:tcPr>
            <w:tcW w:w="2070" w:type="dxa"/>
            <w:vAlign w:val="center"/>
          </w:tcPr>
          <w:p w14:paraId="62EC7120">
            <w:pPr>
              <w:jc w:val="center"/>
              <w:rPr>
                <w:rFonts w:hint="eastAsia" w:ascii="宋体" w:hAnsi="宋体" w:eastAsia="宋体" w:cs="宋体"/>
                <w:spacing w:val="-4"/>
                <w:sz w:val="21"/>
                <w:szCs w:val="21"/>
                <w:highlight w:val="none"/>
              </w:rPr>
            </w:pPr>
          </w:p>
        </w:tc>
      </w:tr>
      <w:tr w14:paraId="0C1D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25B579D2">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20</w:t>
            </w:r>
          </w:p>
        </w:tc>
        <w:tc>
          <w:tcPr>
            <w:tcW w:w="2151" w:type="dxa"/>
            <w:vAlign w:val="center"/>
          </w:tcPr>
          <w:p w14:paraId="5372F73B">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滨河路两侧</w:t>
            </w:r>
          </w:p>
        </w:tc>
        <w:tc>
          <w:tcPr>
            <w:tcW w:w="964" w:type="dxa"/>
            <w:vAlign w:val="center"/>
          </w:tcPr>
          <w:p w14:paraId="7D046705">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208D1083">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3602</w:t>
            </w:r>
          </w:p>
        </w:tc>
        <w:tc>
          <w:tcPr>
            <w:tcW w:w="1545" w:type="dxa"/>
            <w:vAlign w:val="center"/>
          </w:tcPr>
          <w:p w14:paraId="5687660A">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行道树及绿地</w:t>
            </w:r>
          </w:p>
        </w:tc>
        <w:tc>
          <w:tcPr>
            <w:tcW w:w="1271" w:type="dxa"/>
            <w:vAlign w:val="center"/>
          </w:tcPr>
          <w:p w14:paraId="27D9E4EC">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0.90 </w:t>
            </w:r>
          </w:p>
        </w:tc>
        <w:tc>
          <w:tcPr>
            <w:tcW w:w="2070" w:type="dxa"/>
            <w:vAlign w:val="center"/>
          </w:tcPr>
          <w:p w14:paraId="6C82A144">
            <w:pPr>
              <w:jc w:val="center"/>
              <w:rPr>
                <w:rFonts w:hint="eastAsia" w:ascii="宋体" w:hAnsi="宋体" w:eastAsia="宋体" w:cs="宋体"/>
                <w:spacing w:val="-4"/>
                <w:sz w:val="21"/>
                <w:szCs w:val="21"/>
                <w:highlight w:val="none"/>
              </w:rPr>
            </w:pPr>
          </w:p>
        </w:tc>
      </w:tr>
      <w:tr w14:paraId="3AE13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23278556">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21</w:t>
            </w:r>
          </w:p>
        </w:tc>
        <w:tc>
          <w:tcPr>
            <w:tcW w:w="2151" w:type="dxa"/>
            <w:vAlign w:val="center"/>
          </w:tcPr>
          <w:p w14:paraId="40BA72E7">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拥军路两侧</w:t>
            </w:r>
          </w:p>
        </w:tc>
        <w:tc>
          <w:tcPr>
            <w:tcW w:w="964" w:type="dxa"/>
            <w:vAlign w:val="center"/>
          </w:tcPr>
          <w:p w14:paraId="30523AA5">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18600C2C">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116428</w:t>
            </w:r>
          </w:p>
        </w:tc>
        <w:tc>
          <w:tcPr>
            <w:tcW w:w="1545" w:type="dxa"/>
            <w:vAlign w:val="center"/>
          </w:tcPr>
          <w:p w14:paraId="10EDB4A9">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71" w:type="dxa"/>
            <w:vAlign w:val="center"/>
          </w:tcPr>
          <w:p w14:paraId="24E62852">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1.30 </w:t>
            </w:r>
          </w:p>
        </w:tc>
        <w:tc>
          <w:tcPr>
            <w:tcW w:w="2070" w:type="dxa"/>
            <w:vAlign w:val="center"/>
          </w:tcPr>
          <w:p w14:paraId="0AE9E020">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含色块、片林、节点等</w:t>
            </w:r>
          </w:p>
        </w:tc>
      </w:tr>
      <w:tr w14:paraId="124A6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61D79CA8">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22</w:t>
            </w:r>
          </w:p>
        </w:tc>
        <w:tc>
          <w:tcPr>
            <w:tcW w:w="2151" w:type="dxa"/>
            <w:vAlign w:val="center"/>
          </w:tcPr>
          <w:p w14:paraId="1582FDFC">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常沙河、农场河节点</w:t>
            </w:r>
          </w:p>
        </w:tc>
        <w:tc>
          <w:tcPr>
            <w:tcW w:w="964" w:type="dxa"/>
            <w:vAlign w:val="center"/>
          </w:tcPr>
          <w:p w14:paraId="019BC07D">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16F5F63B">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7424</w:t>
            </w:r>
          </w:p>
        </w:tc>
        <w:tc>
          <w:tcPr>
            <w:tcW w:w="1545" w:type="dxa"/>
            <w:vAlign w:val="center"/>
          </w:tcPr>
          <w:p w14:paraId="54F57E77">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71" w:type="dxa"/>
            <w:vAlign w:val="center"/>
          </w:tcPr>
          <w:p w14:paraId="5835D8DC">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1.40 </w:t>
            </w:r>
          </w:p>
        </w:tc>
        <w:tc>
          <w:tcPr>
            <w:tcW w:w="2070" w:type="dxa"/>
            <w:vAlign w:val="center"/>
          </w:tcPr>
          <w:p w14:paraId="52DE3FF2">
            <w:pPr>
              <w:jc w:val="center"/>
              <w:rPr>
                <w:rFonts w:hint="eastAsia" w:ascii="宋体" w:hAnsi="宋体" w:eastAsia="宋体" w:cs="宋体"/>
                <w:spacing w:val="-4"/>
                <w:sz w:val="21"/>
                <w:szCs w:val="21"/>
                <w:highlight w:val="none"/>
              </w:rPr>
            </w:pPr>
          </w:p>
        </w:tc>
      </w:tr>
      <w:tr w14:paraId="5DC6A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683E7919">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23</w:t>
            </w:r>
          </w:p>
        </w:tc>
        <w:tc>
          <w:tcPr>
            <w:tcW w:w="2151" w:type="dxa"/>
            <w:vAlign w:val="center"/>
          </w:tcPr>
          <w:p w14:paraId="02FAA155">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常青路两侧</w:t>
            </w:r>
          </w:p>
        </w:tc>
        <w:tc>
          <w:tcPr>
            <w:tcW w:w="964" w:type="dxa"/>
            <w:vAlign w:val="center"/>
          </w:tcPr>
          <w:p w14:paraId="4875D715">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2144336A">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16042</w:t>
            </w:r>
          </w:p>
        </w:tc>
        <w:tc>
          <w:tcPr>
            <w:tcW w:w="1545" w:type="dxa"/>
            <w:vAlign w:val="center"/>
          </w:tcPr>
          <w:p w14:paraId="0232D33E">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道路景观绿地</w:t>
            </w:r>
          </w:p>
        </w:tc>
        <w:tc>
          <w:tcPr>
            <w:tcW w:w="1271" w:type="dxa"/>
            <w:vAlign w:val="center"/>
          </w:tcPr>
          <w:p w14:paraId="2D5D9584">
            <w:pPr>
              <w:keepNext w:val="0"/>
              <w:keepLines w:val="0"/>
              <w:widowControl/>
              <w:suppressLineNumbers w:val="0"/>
              <w:jc w:val="center"/>
              <w:textAlignment w:val="center"/>
              <w:rPr>
                <w:rFonts w:hint="eastAsia" w:ascii="宋体" w:hAnsi="宋体" w:eastAsia="宋体" w:cs="宋体"/>
                <w:spacing w:val="-16"/>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 xml:space="preserve">1.30 </w:t>
            </w:r>
          </w:p>
        </w:tc>
        <w:tc>
          <w:tcPr>
            <w:tcW w:w="2070" w:type="dxa"/>
            <w:vAlign w:val="center"/>
          </w:tcPr>
          <w:p w14:paraId="21BAEF71">
            <w:pPr>
              <w:jc w:val="center"/>
              <w:rPr>
                <w:rFonts w:hint="eastAsia" w:ascii="宋体" w:hAnsi="宋体" w:eastAsia="宋体" w:cs="宋体"/>
                <w:spacing w:val="-4"/>
                <w:sz w:val="21"/>
                <w:szCs w:val="21"/>
                <w:highlight w:val="none"/>
              </w:rPr>
            </w:pPr>
          </w:p>
        </w:tc>
      </w:tr>
      <w:tr w14:paraId="65A1C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Merge w:val="restart"/>
            <w:vAlign w:val="center"/>
          </w:tcPr>
          <w:p w14:paraId="1D0708AF">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24</w:t>
            </w:r>
          </w:p>
        </w:tc>
        <w:tc>
          <w:tcPr>
            <w:tcW w:w="2151" w:type="dxa"/>
            <w:vMerge w:val="restart"/>
            <w:vAlign w:val="center"/>
          </w:tcPr>
          <w:p w14:paraId="69E7FEDF">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农创园</w:t>
            </w:r>
          </w:p>
        </w:tc>
        <w:tc>
          <w:tcPr>
            <w:tcW w:w="964" w:type="dxa"/>
            <w:vAlign w:val="center"/>
          </w:tcPr>
          <w:p w14:paraId="6962340E">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161690DB">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w:t>
            </w:r>
          </w:p>
        </w:tc>
        <w:tc>
          <w:tcPr>
            <w:tcW w:w="1545" w:type="dxa"/>
            <w:vAlign w:val="center"/>
          </w:tcPr>
          <w:p w14:paraId="19E54F84">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景观绿化</w:t>
            </w:r>
          </w:p>
        </w:tc>
        <w:tc>
          <w:tcPr>
            <w:tcW w:w="1271" w:type="dxa"/>
            <w:vAlign w:val="center"/>
          </w:tcPr>
          <w:p w14:paraId="7026A359">
            <w:pPr>
              <w:keepNext w:val="0"/>
              <w:keepLines w:val="0"/>
              <w:widowControl/>
              <w:suppressLineNumbers w:val="0"/>
              <w:jc w:val="center"/>
              <w:textAlignment w:val="center"/>
              <w:rPr>
                <w:rFonts w:hint="eastAsia" w:ascii="宋体" w:hAnsi="宋体" w:eastAsia="宋体" w:cs="宋体"/>
                <w:color w:val="auto"/>
                <w:spacing w:val="-16"/>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2.00 </w:t>
            </w:r>
          </w:p>
        </w:tc>
        <w:tc>
          <w:tcPr>
            <w:tcW w:w="2070" w:type="dxa"/>
            <w:vAlign w:val="center"/>
          </w:tcPr>
          <w:p w14:paraId="5E627AEF">
            <w:pPr>
              <w:keepNext w:val="0"/>
              <w:keepLines w:val="0"/>
              <w:widowControl/>
              <w:suppressLineNumbers w:val="0"/>
              <w:jc w:val="center"/>
              <w:textAlignment w:val="center"/>
              <w:rPr>
                <w:rFonts w:hint="default" w:ascii="宋体" w:hAnsi="宋体" w:eastAsia="宋体" w:cs="宋体"/>
                <w:color w:val="auto"/>
                <w:spacing w:val="-4"/>
                <w:sz w:val="21"/>
                <w:szCs w:val="21"/>
                <w:highlight w:val="none"/>
                <w:lang w:val="en-US"/>
              </w:rPr>
            </w:pPr>
            <w:r>
              <w:rPr>
                <w:rFonts w:hint="eastAsia" w:ascii="宋体" w:hAnsi="宋体" w:eastAsia="宋体" w:cs="宋体"/>
                <w:i w:val="0"/>
                <w:iCs w:val="0"/>
                <w:color w:val="auto"/>
                <w:kern w:val="0"/>
                <w:sz w:val="21"/>
                <w:szCs w:val="21"/>
                <w:highlight w:val="none"/>
                <w:u w:val="none"/>
                <w:lang w:val="en-US" w:eastAsia="zh-CN" w:bidi="ar"/>
              </w:rPr>
              <w:t>含二楼绿化养</w:t>
            </w:r>
            <w:r>
              <w:rPr>
                <w:rFonts w:hint="eastAsia" w:ascii="宋体" w:hAnsi="宋体" w:cs="宋体"/>
                <w:i w:val="0"/>
                <w:iCs w:val="0"/>
                <w:color w:val="auto"/>
                <w:kern w:val="0"/>
                <w:sz w:val="21"/>
                <w:szCs w:val="21"/>
                <w:highlight w:val="none"/>
                <w:u w:val="none"/>
                <w:lang w:val="en-US" w:eastAsia="zh-CN" w:bidi="ar"/>
              </w:rPr>
              <w:t>护</w:t>
            </w:r>
          </w:p>
        </w:tc>
      </w:tr>
      <w:tr w14:paraId="3D4C9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Merge w:val="continue"/>
            <w:vAlign w:val="center"/>
          </w:tcPr>
          <w:p w14:paraId="72C18C5B">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lang w:val="en-US" w:eastAsia="zh-CN"/>
              </w:rPr>
            </w:pPr>
          </w:p>
        </w:tc>
        <w:tc>
          <w:tcPr>
            <w:tcW w:w="2151" w:type="dxa"/>
            <w:vMerge w:val="continue"/>
            <w:vAlign w:val="center"/>
          </w:tcPr>
          <w:p w14:paraId="6AFAFAD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964" w:type="dxa"/>
            <w:vAlign w:val="center"/>
          </w:tcPr>
          <w:p w14:paraId="3BB4CD62">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cs="宋体"/>
                <w:color w:val="auto"/>
                <w:spacing w:val="-3"/>
                <w:sz w:val="21"/>
                <w:szCs w:val="21"/>
                <w:highlight w:val="none"/>
                <w:lang w:val="en-US" w:eastAsia="zh-CN"/>
              </w:rPr>
              <w:t>项</w:t>
            </w:r>
          </w:p>
        </w:tc>
        <w:tc>
          <w:tcPr>
            <w:tcW w:w="1065" w:type="dxa"/>
            <w:vAlign w:val="center"/>
          </w:tcPr>
          <w:p w14:paraId="11C89427">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1545" w:type="dxa"/>
            <w:vAlign w:val="center"/>
          </w:tcPr>
          <w:p w14:paraId="647AD17B">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绿化氛围布置</w:t>
            </w:r>
          </w:p>
        </w:tc>
        <w:tc>
          <w:tcPr>
            <w:tcW w:w="1271" w:type="dxa"/>
            <w:vAlign w:val="center"/>
          </w:tcPr>
          <w:p w14:paraId="266B7DF8">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5000元/年</w:t>
            </w:r>
          </w:p>
        </w:tc>
        <w:tc>
          <w:tcPr>
            <w:tcW w:w="2070" w:type="dxa"/>
            <w:vAlign w:val="center"/>
          </w:tcPr>
          <w:p w14:paraId="70175B8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暂估不可竞争</w:t>
            </w:r>
          </w:p>
        </w:tc>
      </w:tr>
      <w:tr w14:paraId="263CB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47940B12">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25</w:t>
            </w:r>
          </w:p>
        </w:tc>
        <w:tc>
          <w:tcPr>
            <w:tcW w:w="2151" w:type="dxa"/>
            <w:vAlign w:val="center"/>
          </w:tcPr>
          <w:p w14:paraId="582FD4AE">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客运中心</w:t>
            </w:r>
          </w:p>
        </w:tc>
        <w:tc>
          <w:tcPr>
            <w:tcW w:w="964" w:type="dxa"/>
            <w:vAlign w:val="center"/>
          </w:tcPr>
          <w:p w14:paraId="26D64A3E">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2FCB6129">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7000</w:t>
            </w:r>
          </w:p>
        </w:tc>
        <w:tc>
          <w:tcPr>
            <w:tcW w:w="1545" w:type="dxa"/>
            <w:vAlign w:val="center"/>
          </w:tcPr>
          <w:p w14:paraId="616C4588">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景观绿化</w:t>
            </w:r>
          </w:p>
        </w:tc>
        <w:tc>
          <w:tcPr>
            <w:tcW w:w="1271" w:type="dxa"/>
            <w:vAlign w:val="center"/>
          </w:tcPr>
          <w:p w14:paraId="4965539D">
            <w:pPr>
              <w:keepNext w:val="0"/>
              <w:keepLines w:val="0"/>
              <w:widowControl/>
              <w:suppressLineNumbers w:val="0"/>
              <w:jc w:val="center"/>
              <w:textAlignment w:val="center"/>
              <w:rPr>
                <w:rFonts w:hint="eastAsia" w:ascii="宋体" w:hAnsi="宋体" w:eastAsia="宋体" w:cs="宋体"/>
                <w:color w:val="auto"/>
                <w:spacing w:val="-16"/>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2.00 </w:t>
            </w:r>
          </w:p>
        </w:tc>
        <w:tc>
          <w:tcPr>
            <w:tcW w:w="2070" w:type="dxa"/>
            <w:vAlign w:val="center"/>
          </w:tcPr>
          <w:p w14:paraId="253D7BBC">
            <w:pPr>
              <w:jc w:val="left"/>
              <w:rPr>
                <w:rFonts w:hint="eastAsia" w:ascii="宋体" w:hAnsi="宋体" w:eastAsia="宋体" w:cs="宋体"/>
                <w:color w:val="auto"/>
                <w:spacing w:val="-4"/>
                <w:sz w:val="21"/>
                <w:szCs w:val="21"/>
                <w:highlight w:val="none"/>
              </w:rPr>
            </w:pPr>
          </w:p>
        </w:tc>
      </w:tr>
      <w:tr w14:paraId="3BB6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01BFBE96">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26</w:t>
            </w:r>
          </w:p>
        </w:tc>
        <w:tc>
          <w:tcPr>
            <w:tcW w:w="2151" w:type="dxa"/>
            <w:vAlign w:val="center"/>
          </w:tcPr>
          <w:p w14:paraId="69517A08">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澳洋百花园</w:t>
            </w:r>
          </w:p>
        </w:tc>
        <w:tc>
          <w:tcPr>
            <w:tcW w:w="964" w:type="dxa"/>
            <w:vAlign w:val="center"/>
          </w:tcPr>
          <w:p w14:paraId="5AEA6660">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68F0C4D0">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232000</w:t>
            </w:r>
          </w:p>
        </w:tc>
        <w:tc>
          <w:tcPr>
            <w:tcW w:w="1545" w:type="dxa"/>
            <w:vAlign w:val="center"/>
          </w:tcPr>
          <w:p w14:paraId="05C50150">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成片林地</w:t>
            </w:r>
          </w:p>
        </w:tc>
        <w:tc>
          <w:tcPr>
            <w:tcW w:w="1271" w:type="dxa"/>
            <w:vAlign w:val="center"/>
          </w:tcPr>
          <w:p w14:paraId="3A776F36">
            <w:pPr>
              <w:keepNext w:val="0"/>
              <w:keepLines w:val="0"/>
              <w:widowControl/>
              <w:suppressLineNumbers w:val="0"/>
              <w:jc w:val="center"/>
              <w:textAlignment w:val="center"/>
              <w:rPr>
                <w:rFonts w:hint="eastAsia" w:ascii="宋体" w:hAnsi="宋体" w:eastAsia="宋体" w:cs="宋体"/>
                <w:color w:val="auto"/>
                <w:spacing w:val="-16"/>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0.50 </w:t>
            </w:r>
          </w:p>
        </w:tc>
        <w:tc>
          <w:tcPr>
            <w:tcW w:w="2070" w:type="dxa"/>
            <w:vAlign w:val="center"/>
          </w:tcPr>
          <w:p w14:paraId="22EA2AB4">
            <w:pPr>
              <w:jc w:val="left"/>
              <w:rPr>
                <w:rFonts w:hint="eastAsia" w:ascii="宋体" w:hAnsi="宋体" w:eastAsia="宋体" w:cs="宋体"/>
                <w:color w:val="auto"/>
                <w:spacing w:val="-4"/>
                <w:sz w:val="21"/>
                <w:szCs w:val="21"/>
                <w:highlight w:val="none"/>
              </w:rPr>
            </w:pPr>
          </w:p>
        </w:tc>
      </w:tr>
      <w:tr w14:paraId="08D50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jc w:val="center"/>
        </w:trPr>
        <w:tc>
          <w:tcPr>
            <w:tcW w:w="551" w:type="dxa"/>
            <w:vAlign w:val="center"/>
          </w:tcPr>
          <w:p w14:paraId="684D575C">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27</w:t>
            </w:r>
          </w:p>
        </w:tc>
        <w:tc>
          <w:tcPr>
            <w:tcW w:w="2151" w:type="dxa"/>
            <w:vAlign w:val="center"/>
          </w:tcPr>
          <w:p w14:paraId="6937528C">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七干河边常沙苗圃</w:t>
            </w:r>
          </w:p>
        </w:tc>
        <w:tc>
          <w:tcPr>
            <w:tcW w:w="964" w:type="dxa"/>
            <w:vAlign w:val="center"/>
          </w:tcPr>
          <w:p w14:paraId="2590C29E">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58365D9E">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25503</w:t>
            </w:r>
          </w:p>
        </w:tc>
        <w:tc>
          <w:tcPr>
            <w:tcW w:w="1545" w:type="dxa"/>
            <w:vAlign w:val="center"/>
          </w:tcPr>
          <w:p w14:paraId="3D12DA21">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成片林地</w:t>
            </w:r>
          </w:p>
        </w:tc>
        <w:tc>
          <w:tcPr>
            <w:tcW w:w="1271" w:type="dxa"/>
            <w:vAlign w:val="center"/>
          </w:tcPr>
          <w:p w14:paraId="2A9F9569">
            <w:pPr>
              <w:keepNext w:val="0"/>
              <w:keepLines w:val="0"/>
              <w:widowControl/>
              <w:suppressLineNumbers w:val="0"/>
              <w:jc w:val="center"/>
              <w:textAlignment w:val="center"/>
              <w:rPr>
                <w:rFonts w:hint="eastAsia" w:ascii="宋体" w:hAnsi="宋体" w:eastAsia="宋体" w:cs="宋体"/>
                <w:color w:val="auto"/>
                <w:spacing w:val="-16"/>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 xml:space="preserve">0.90 </w:t>
            </w:r>
          </w:p>
        </w:tc>
        <w:tc>
          <w:tcPr>
            <w:tcW w:w="2070" w:type="dxa"/>
            <w:vAlign w:val="center"/>
          </w:tcPr>
          <w:p w14:paraId="685D485F">
            <w:pPr>
              <w:jc w:val="left"/>
              <w:rPr>
                <w:rFonts w:hint="eastAsia" w:ascii="宋体" w:hAnsi="宋体" w:eastAsia="宋体" w:cs="宋体"/>
                <w:color w:val="auto"/>
                <w:spacing w:val="-4"/>
                <w:sz w:val="21"/>
                <w:szCs w:val="21"/>
                <w:highlight w:val="none"/>
              </w:rPr>
            </w:pPr>
          </w:p>
        </w:tc>
      </w:tr>
    </w:tbl>
    <w:p w14:paraId="7650BE85">
      <w:pPr>
        <w:spacing w:line="91" w:lineRule="auto"/>
        <w:rPr>
          <w:rFonts w:ascii="Arial"/>
          <w:color w:val="auto"/>
          <w:sz w:val="2"/>
          <w:highlight w:val="none"/>
        </w:rPr>
      </w:pPr>
    </w:p>
    <w:p w14:paraId="10B18BB1">
      <w:pPr>
        <w:spacing w:line="91" w:lineRule="auto"/>
        <w:rPr>
          <w:rFonts w:ascii="Arial"/>
          <w:color w:val="auto"/>
          <w:sz w:val="2"/>
          <w:highlight w:val="none"/>
        </w:rPr>
      </w:pPr>
    </w:p>
    <w:p w14:paraId="6E7B66D1">
      <w:pPr>
        <w:pStyle w:val="14"/>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auto"/>
          <w:spacing w:val="-2"/>
          <w:sz w:val="24"/>
          <w:szCs w:val="24"/>
          <w:highlight w:val="none"/>
        </w:rPr>
      </w:pPr>
    </w:p>
    <w:p w14:paraId="55094122">
      <w:pPr>
        <w:pStyle w:val="14"/>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auto"/>
          <w:spacing w:val="-62"/>
          <w:sz w:val="24"/>
          <w:szCs w:val="24"/>
          <w:highlight w:val="none"/>
        </w:rPr>
      </w:pPr>
      <w:r>
        <w:rPr>
          <w:rFonts w:hint="eastAsia" w:ascii="宋体" w:hAnsi="宋体" w:eastAsia="宋体" w:cs="宋体"/>
          <w:b/>
          <w:bCs/>
          <w:color w:val="auto"/>
          <w:spacing w:val="-2"/>
          <w:sz w:val="24"/>
          <w:szCs w:val="24"/>
          <w:highlight w:val="none"/>
        </w:rPr>
        <w:t>注：</w:t>
      </w:r>
      <w:r>
        <w:rPr>
          <w:rFonts w:hint="eastAsia" w:ascii="宋体" w:hAnsi="宋体" w:eastAsia="宋体" w:cs="宋体"/>
          <w:b/>
          <w:bCs/>
          <w:color w:val="auto"/>
          <w:spacing w:val="-62"/>
          <w:sz w:val="24"/>
          <w:szCs w:val="24"/>
          <w:highlight w:val="none"/>
        </w:rPr>
        <w:t xml:space="preserve"> </w:t>
      </w:r>
    </w:p>
    <w:p w14:paraId="525B9965">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textAlignment w:val="auto"/>
        <w:rPr>
          <w:rFonts w:hint="eastAsia" w:ascii="宋体" w:hAnsi="宋体" w:eastAsia="宋体" w:cs="宋体"/>
          <w:b w:val="0"/>
          <w:bCs w:val="0"/>
          <w:color w:val="auto"/>
          <w:spacing w:val="-2"/>
          <w:sz w:val="24"/>
          <w:szCs w:val="24"/>
          <w:highlight w:val="none"/>
        </w:rPr>
      </w:pPr>
      <w:r>
        <w:rPr>
          <w:rFonts w:hint="eastAsia" w:ascii="宋体" w:hAnsi="宋体" w:cs="宋体"/>
          <w:b w:val="0"/>
          <w:bCs w:val="0"/>
          <w:color w:val="auto"/>
          <w:spacing w:val="-2"/>
          <w:sz w:val="24"/>
          <w:szCs w:val="24"/>
          <w:highlight w:val="none"/>
          <w:lang w:val="en-US" w:eastAsia="zh-CN"/>
        </w:rPr>
        <w:t>1、</w:t>
      </w:r>
      <w:r>
        <w:rPr>
          <w:rFonts w:hint="eastAsia" w:ascii="宋体" w:hAnsi="宋体" w:eastAsia="宋体" w:cs="宋体"/>
          <w:b w:val="0"/>
          <w:bCs w:val="0"/>
          <w:color w:val="auto"/>
          <w:spacing w:val="-2"/>
          <w:sz w:val="24"/>
          <w:szCs w:val="24"/>
          <w:highlight w:val="none"/>
        </w:rPr>
        <w:t>各养护项目养护单价的报价高于最高限价的投标为无效投标。</w:t>
      </w:r>
    </w:p>
    <w:p w14:paraId="0566E992">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auto"/>
          <w:spacing w:val="-2"/>
          <w:sz w:val="24"/>
          <w:szCs w:val="24"/>
          <w:highlight w:val="none"/>
        </w:rPr>
      </w:pPr>
      <w:r>
        <w:rPr>
          <w:rFonts w:hint="eastAsia" w:ascii="宋体" w:hAnsi="宋体" w:cs="宋体"/>
          <w:b/>
          <w:bCs/>
          <w:color w:val="auto"/>
          <w:spacing w:val="-2"/>
          <w:sz w:val="24"/>
          <w:szCs w:val="24"/>
          <w:highlight w:val="none"/>
          <w:lang w:val="en-US" w:eastAsia="zh-CN"/>
        </w:rPr>
        <w:t>2、</w:t>
      </w:r>
      <w:r>
        <w:rPr>
          <w:rFonts w:hint="eastAsia" w:ascii="宋体" w:hAnsi="宋体" w:eastAsia="宋体" w:cs="宋体"/>
          <w:b/>
          <w:bCs/>
          <w:color w:val="auto"/>
          <w:spacing w:val="-2"/>
          <w:sz w:val="24"/>
          <w:szCs w:val="24"/>
          <w:highlight w:val="none"/>
        </w:rPr>
        <w:t>不可竞争费用在投标报价中为固定值，投标人不得擅自修改，否则可能被认定为无效投标。</w:t>
      </w:r>
    </w:p>
    <w:p w14:paraId="4239A20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val="0"/>
          <w:bCs w:val="0"/>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3</w:t>
      </w:r>
      <w:r>
        <w:rPr>
          <w:rFonts w:hint="eastAsia" w:ascii="宋体" w:hAnsi="宋体" w:eastAsia="宋体" w:cs="宋体"/>
          <w:b w:val="0"/>
          <w:bCs w:val="0"/>
          <w:color w:val="auto"/>
          <w:spacing w:val="-1"/>
          <w:sz w:val="24"/>
          <w:szCs w:val="24"/>
          <w:highlight w:val="none"/>
        </w:rPr>
        <w:t>、</w:t>
      </w:r>
      <w:r>
        <w:rPr>
          <w:rFonts w:hint="eastAsia" w:ascii="宋体" w:hAnsi="宋体" w:eastAsia="宋体" w:cs="宋体"/>
          <w:b w:val="0"/>
          <w:bCs w:val="0"/>
          <w:color w:val="auto"/>
          <w:spacing w:val="-1"/>
          <w:sz w:val="24"/>
          <w:szCs w:val="24"/>
          <w:highlight w:val="none"/>
          <w:lang w:val="en-US" w:eastAsia="zh-CN"/>
        </w:rPr>
        <w:t>投标人必须经采购方通过现场踏勘后合理报价。中标后，在签订合同时和养护管理</w:t>
      </w:r>
      <w:r>
        <w:rPr>
          <w:rFonts w:hint="eastAsia" w:ascii="宋体" w:hAnsi="宋体" w:eastAsia="宋体" w:cs="宋体"/>
          <w:b w:val="0"/>
          <w:bCs w:val="0"/>
          <w:spacing w:val="-1"/>
          <w:sz w:val="24"/>
          <w:szCs w:val="24"/>
          <w:highlight w:val="none"/>
          <w:lang w:val="en-US" w:eastAsia="zh-CN"/>
        </w:rPr>
        <w:t>过程中，不得以不完全了解现场情况或工程量增加为由，提出任何形式的增加经费或索赔的要求。投标供应商可自行考察现场，综合考虑风险后报价，报价含现有部分空缺地段补苗费用。</w:t>
      </w:r>
    </w:p>
    <w:p w14:paraId="03BDFA52">
      <w:pPr>
        <w:bidi w:val="0"/>
        <w:rPr>
          <w:rFonts w:hint="eastAsia"/>
        </w:rPr>
      </w:pPr>
      <w:r>
        <w:rPr>
          <w:rFonts w:hint="eastAsia"/>
        </w:rPr>
        <w:br w:type="page"/>
      </w:r>
    </w:p>
    <w:p w14:paraId="5B544D9E">
      <w:pPr>
        <w:pStyle w:val="5"/>
        <w:numPr>
          <w:ilvl w:val="0"/>
          <w:numId w:val="0"/>
        </w:numPr>
        <w:bidi w:val="0"/>
        <w:rPr>
          <w:rFonts w:ascii="宋体" w:hAnsi="宋体" w:eastAsia="宋体" w:cs="宋体"/>
          <w:b/>
          <w:bCs/>
          <w:spacing w:val="-4"/>
          <w:sz w:val="28"/>
          <w:szCs w:val="28"/>
        </w:rPr>
      </w:pPr>
      <w:r>
        <w:rPr>
          <w:rFonts w:hint="eastAsia" w:ascii="宋体" w:hAnsi="宋体" w:cs="宋体"/>
          <w:b/>
          <w:bCs/>
          <w:color w:val="000000" w:themeColor="text1"/>
          <w:sz w:val="24"/>
          <w:szCs w:val="20"/>
          <w:highlight w:val="none"/>
          <w:lang w:eastAsia="zh-CN"/>
          <w14:textFill>
            <w14:solidFill>
              <w14:schemeClr w14:val="tx1"/>
            </w14:solidFill>
          </w14:textFill>
        </w:rPr>
        <w:t>（</w:t>
      </w:r>
      <w:r>
        <w:rPr>
          <w:rFonts w:hint="eastAsia" w:ascii="宋体" w:hAnsi="宋体" w:cs="宋体"/>
          <w:b/>
          <w:bCs/>
          <w:color w:val="000000" w:themeColor="text1"/>
          <w:sz w:val="24"/>
          <w:szCs w:val="20"/>
          <w:highlight w:val="none"/>
          <w:lang w:val="en-US" w:eastAsia="zh-CN"/>
          <w14:textFill>
            <w14:solidFill>
              <w14:schemeClr w14:val="tx1"/>
            </w14:solidFill>
          </w14:textFill>
        </w:rPr>
        <w:t>二</w:t>
      </w:r>
      <w:r>
        <w:rPr>
          <w:rFonts w:hint="eastAsia" w:ascii="宋体" w:hAnsi="宋体" w:cs="宋体"/>
          <w:b/>
          <w:bCs/>
          <w:color w:val="000000" w:themeColor="text1"/>
          <w:sz w:val="24"/>
          <w:szCs w:val="20"/>
          <w:highlight w:val="none"/>
          <w:lang w:eastAsia="zh-CN"/>
          <w14:textFill>
            <w14:solidFill>
              <w14:schemeClr w14:val="tx1"/>
            </w14:solidFill>
          </w14:textFill>
        </w:rPr>
        <w:t>）</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考核办法</w:t>
      </w:r>
    </w:p>
    <w:p w14:paraId="02C72D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sz w:val="28"/>
          <w:szCs w:val="28"/>
        </w:rPr>
      </w:pPr>
      <w:r>
        <w:rPr>
          <w:rFonts w:ascii="宋体" w:hAnsi="宋体" w:eastAsia="宋体" w:cs="宋体"/>
          <w:b/>
          <w:bCs/>
          <w:spacing w:val="-4"/>
          <w:sz w:val="28"/>
          <w:szCs w:val="28"/>
        </w:rPr>
        <w:t>常阴沙现代农业示范园区镇级绿化养护考核办法</w:t>
      </w:r>
    </w:p>
    <w:p w14:paraId="3A46AC51">
      <w:pPr>
        <w:keepNext w:val="0"/>
        <w:keepLines w:val="0"/>
        <w:pageBreakBefore w:val="0"/>
        <w:widowControl w:val="0"/>
        <w:kinsoku/>
        <w:wordWrap/>
        <w:overflowPunct/>
        <w:topLinePunct w:val="0"/>
        <w:autoSpaceDE/>
        <w:autoSpaceDN/>
        <w:bidi w:val="0"/>
        <w:adjustRightInd/>
        <w:snapToGrid/>
        <w:spacing w:line="360" w:lineRule="auto"/>
        <w:ind w:firstLine="472" w:firstLineChars="200"/>
        <w:jc w:val="both"/>
        <w:textAlignment w:val="auto"/>
        <w:rPr>
          <w:rFonts w:ascii="宋体" w:hAnsi="宋体" w:eastAsia="宋体" w:cs="宋体"/>
          <w:spacing w:val="-2"/>
          <w:sz w:val="24"/>
          <w:szCs w:val="24"/>
        </w:rPr>
      </w:pPr>
    </w:p>
    <w:p w14:paraId="62F028F5">
      <w:pPr>
        <w:keepNext w:val="0"/>
        <w:keepLines w:val="0"/>
        <w:pageBreakBefore w:val="0"/>
        <w:widowControl w:val="0"/>
        <w:kinsoku/>
        <w:wordWrap/>
        <w:overflowPunct/>
        <w:topLinePunct w:val="0"/>
        <w:autoSpaceDE/>
        <w:autoSpaceDN/>
        <w:bidi w:val="0"/>
        <w:adjustRightInd/>
        <w:snapToGrid/>
        <w:spacing w:line="360" w:lineRule="auto"/>
        <w:ind w:firstLine="472" w:firstLineChars="200"/>
        <w:jc w:val="both"/>
        <w:textAlignment w:val="auto"/>
        <w:rPr>
          <w:rFonts w:hint="eastAsia" w:ascii="宋体" w:hAnsi="宋体" w:eastAsia="宋体" w:cs="宋体"/>
          <w:sz w:val="24"/>
          <w:szCs w:val="24"/>
          <w:lang w:eastAsia="zh-CN"/>
        </w:rPr>
      </w:pPr>
      <w:r>
        <w:rPr>
          <w:rFonts w:ascii="宋体" w:hAnsi="宋体" w:eastAsia="宋体" w:cs="宋体"/>
          <w:spacing w:val="-2"/>
          <w:sz w:val="24"/>
          <w:szCs w:val="24"/>
        </w:rPr>
        <w:t>为提高园区主干道绿地、林地绿化管理水平，建立正确评估园区镇级绿地、</w:t>
      </w:r>
      <w:r>
        <w:rPr>
          <w:rFonts w:ascii="宋体" w:hAnsi="宋体" w:eastAsia="宋体" w:cs="宋体"/>
          <w:sz w:val="24"/>
          <w:szCs w:val="24"/>
        </w:rPr>
        <w:t>林地养护管理工作质量体系及优胜劣汰的绿化养护竞争</w:t>
      </w:r>
      <w:r>
        <w:rPr>
          <w:rFonts w:ascii="宋体" w:hAnsi="宋体" w:eastAsia="宋体" w:cs="宋体"/>
          <w:spacing w:val="-1"/>
          <w:sz w:val="24"/>
          <w:szCs w:val="24"/>
        </w:rPr>
        <w:t>机制，提升镇级主干道景观</w:t>
      </w:r>
      <w:r>
        <w:rPr>
          <w:rFonts w:ascii="宋体" w:hAnsi="宋体" w:eastAsia="宋体" w:cs="宋体"/>
          <w:sz w:val="24"/>
          <w:szCs w:val="24"/>
        </w:rPr>
        <w:t>效果，规范绿化养护管理考核行为，完善绿化养护监督</w:t>
      </w:r>
      <w:r>
        <w:rPr>
          <w:rFonts w:ascii="宋体" w:hAnsi="宋体" w:eastAsia="宋体" w:cs="宋体"/>
          <w:spacing w:val="-1"/>
          <w:sz w:val="24"/>
          <w:szCs w:val="24"/>
        </w:rPr>
        <w:t>管理制度，特制订本考核办</w:t>
      </w:r>
      <w:r>
        <w:rPr>
          <w:rFonts w:ascii="宋体" w:hAnsi="宋体" w:eastAsia="宋体" w:cs="宋体"/>
          <w:spacing w:val="-17"/>
          <w:sz w:val="24"/>
          <w:szCs w:val="24"/>
        </w:rPr>
        <w:t>法</w:t>
      </w:r>
      <w:r>
        <w:rPr>
          <w:rFonts w:hint="eastAsia" w:ascii="宋体" w:hAnsi="宋体" w:eastAsia="宋体" w:cs="宋体"/>
          <w:spacing w:val="-17"/>
          <w:sz w:val="24"/>
          <w:szCs w:val="24"/>
          <w:lang w:eastAsia="zh-CN"/>
        </w:rPr>
        <w:t>：</w:t>
      </w:r>
    </w:p>
    <w:p w14:paraId="2C3ADBB1">
      <w:pPr>
        <w:keepNext w:val="0"/>
        <w:keepLines w:val="0"/>
        <w:pageBreakBefore w:val="0"/>
        <w:widowControl w:val="0"/>
        <w:kinsoku/>
        <w:wordWrap/>
        <w:overflowPunct/>
        <w:topLinePunct w:val="0"/>
        <w:autoSpaceDE/>
        <w:autoSpaceDN/>
        <w:bidi w:val="0"/>
        <w:adjustRightInd/>
        <w:snapToGrid/>
        <w:spacing w:line="360" w:lineRule="auto"/>
        <w:ind w:firstLine="458" w:firstLineChars="200"/>
        <w:textAlignment w:val="auto"/>
        <w:rPr>
          <w:rFonts w:ascii="宋体" w:hAnsi="宋体" w:eastAsia="宋体" w:cs="宋体"/>
          <w:sz w:val="24"/>
          <w:szCs w:val="24"/>
        </w:rPr>
      </w:pPr>
      <w:r>
        <w:rPr>
          <w:rFonts w:ascii="宋体" w:hAnsi="宋体" w:eastAsia="宋体" w:cs="宋体"/>
          <w:b/>
          <w:bCs/>
          <w:spacing w:val="-6"/>
          <w:sz w:val="24"/>
          <w:szCs w:val="24"/>
        </w:rPr>
        <w:t>一、考核原则</w:t>
      </w:r>
    </w:p>
    <w:p w14:paraId="1735E8DC">
      <w:pPr>
        <w:keepNext w:val="0"/>
        <w:keepLines w:val="0"/>
        <w:pageBreakBefore w:val="0"/>
        <w:widowControl w:val="0"/>
        <w:kinsoku/>
        <w:wordWrap/>
        <w:overflowPunct/>
        <w:topLinePunct w:val="0"/>
        <w:autoSpaceDE/>
        <w:autoSpaceDN/>
        <w:bidi w:val="0"/>
        <w:adjustRightInd/>
        <w:snapToGrid/>
        <w:spacing w:line="360" w:lineRule="auto"/>
        <w:ind w:right="28" w:firstLine="480" w:firstLineChars="200"/>
        <w:textAlignment w:val="auto"/>
        <w:rPr>
          <w:rFonts w:ascii="宋体" w:hAnsi="宋体" w:eastAsia="宋体" w:cs="宋体"/>
          <w:sz w:val="24"/>
          <w:szCs w:val="24"/>
        </w:rPr>
      </w:pPr>
      <w:r>
        <w:rPr>
          <w:rFonts w:ascii="宋体" w:hAnsi="宋体" w:eastAsia="宋体" w:cs="宋体"/>
          <w:sz w:val="24"/>
          <w:szCs w:val="24"/>
        </w:rPr>
        <w:t>坚持公正、公平、公开原则；坚持奖惩得当</w:t>
      </w:r>
      <w:r>
        <w:rPr>
          <w:rFonts w:ascii="宋体" w:hAnsi="宋体" w:eastAsia="宋体" w:cs="宋体"/>
          <w:spacing w:val="-1"/>
          <w:sz w:val="24"/>
          <w:szCs w:val="24"/>
        </w:rPr>
        <w:t>的原则；坚持定期考核与平时督查</w:t>
      </w:r>
      <w:r>
        <w:rPr>
          <w:rFonts w:ascii="宋体" w:hAnsi="宋体" w:eastAsia="宋体" w:cs="宋体"/>
          <w:spacing w:val="-7"/>
          <w:sz w:val="24"/>
          <w:szCs w:val="24"/>
        </w:rPr>
        <w:t>相结合原则。</w:t>
      </w:r>
    </w:p>
    <w:p w14:paraId="425FBBE2">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ascii="宋体" w:hAnsi="宋体" w:eastAsia="宋体" w:cs="宋体"/>
          <w:sz w:val="24"/>
          <w:szCs w:val="24"/>
        </w:rPr>
      </w:pPr>
      <w:r>
        <w:rPr>
          <w:rFonts w:ascii="宋体" w:hAnsi="宋体" w:eastAsia="宋体" w:cs="宋体"/>
          <w:b/>
          <w:bCs/>
          <w:spacing w:val="-5"/>
          <w:sz w:val="24"/>
          <w:szCs w:val="24"/>
        </w:rPr>
        <w:t>二、考核依据</w:t>
      </w:r>
    </w:p>
    <w:p w14:paraId="339598AD">
      <w:pPr>
        <w:keepNext w:val="0"/>
        <w:keepLines w:val="0"/>
        <w:pageBreakBefore w:val="0"/>
        <w:widowControl w:val="0"/>
        <w:kinsoku/>
        <w:wordWrap/>
        <w:overflowPunct/>
        <w:topLinePunct w:val="0"/>
        <w:autoSpaceDE/>
        <w:autoSpaceDN/>
        <w:bidi w:val="0"/>
        <w:adjustRightInd/>
        <w:snapToGrid/>
        <w:spacing w:line="360" w:lineRule="auto"/>
        <w:ind w:right="28" w:firstLine="480" w:firstLineChars="200"/>
        <w:textAlignment w:val="auto"/>
        <w:rPr>
          <w:rFonts w:ascii="宋体" w:hAnsi="宋体" w:eastAsia="宋体" w:cs="宋体"/>
          <w:sz w:val="24"/>
          <w:szCs w:val="24"/>
        </w:rPr>
      </w:pPr>
      <w:r>
        <w:rPr>
          <w:rFonts w:ascii="宋体" w:hAnsi="宋体" w:eastAsia="宋体" w:cs="宋体"/>
          <w:sz w:val="24"/>
          <w:szCs w:val="24"/>
        </w:rPr>
        <w:t>依据《中华人民共和国森林法》《江苏省生态公</w:t>
      </w:r>
      <w:r>
        <w:rPr>
          <w:rFonts w:ascii="宋体" w:hAnsi="宋体" w:eastAsia="宋体" w:cs="宋体"/>
          <w:spacing w:val="-1"/>
          <w:sz w:val="24"/>
          <w:szCs w:val="24"/>
        </w:rPr>
        <w:t>益林条例》、《苏州市城市绿</w:t>
      </w:r>
      <w:r>
        <w:rPr>
          <w:rFonts w:ascii="宋体" w:hAnsi="宋体" w:eastAsia="宋体" w:cs="宋体"/>
          <w:spacing w:val="-2"/>
          <w:sz w:val="24"/>
          <w:szCs w:val="24"/>
        </w:rPr>
        <w:t>化条例》等文件，结合园区实际，制定本办</w:t>
      </w:r>
      <w:r>
        <w:rPr>
          <w:rFonts w:ascii="宋体" w:hAnsi="宋体" w:eastAsia="宋体" w:cs="宋体"/>
          <w:spacing w:val="-3"/>
          <w:sz w:val="24"/>
          <w:szCs w:val="24"/>
        </w:rPr>
        <w:t>法。</w:t>
      </w:r>
    </w:p>
    <w:p w14:paraId="67AC7BD1">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ascii="宋体" w:hAnsi="宋体" w:eastAsia="宋体" w:cs="宋体"/>
          <w:sz w:val="24"/>
          <w:szCs w:val="24"/>
        </w:rPr>
      </w:pPr>
      <w:r>
        <w:rPr>
          <w:rFonts w:ascii="宋体" w:hAnsi="宋体" w:eastAsia="宋体" w:cs="宋体"/>
          <w:b/>
          <w:bCs/>
          <w:spacing w:val="-5"/>
          <w:sz w:val="24"/>
          <w:szCs w:val="24"/>
        </w:rPr>
        <w:t>三、考核范围</w:t>
      </w:r>
    </w:p>
    <w:p w14:paraId="7DA468E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ascii="宋体" w:hAnsi="宋体" w:eastAsia="宋体" w:cs="宋体"/>
          <w:sz w:val="24"/>
          <w:szCs w:val="24"/>
        </w:rPr>
      </w:pPr>
      <w:r>
        <w:rPr>
          <w:rFonts w:ascii="宋体" w:hAnsi="宋体" w:eastAsia="宋体" w:cs="宋体"/>
          <w:spacing w:val="-5"/>
          <w:sz w:val="24"/>
          <w:szCs w:val="24"/>
        </w:rPr>
        <w:t>园区镇级绿地、林地。</w:t>
      </w:r>
    </w:p>
    <w:p w14:paraId="6AA1EC90">
      <w:pPr>
        <w:keepNext w:val="0"/>
        <w:keepLines w:val="0"/>
        <w:pageBreakBefore w:val="0"/>
        <w:widowControl w:val="0"/>
        <w:kinsoku/>
        <w:wordWrap/>
        <w:overflowPunct/>
        <w:topLinePunct w:val="0"/>
        <w:autoSpaceDE/>
        <w:autoSpaceDN/>
        <w:bidi w:val="0"/>
        <w:adjustRightInd/>
        <w:snapToGrid/>
        <w:spacing w:line="360" w:lineRule="auto"/>
        <w:ind w:firstLine="446" w:firstLineChars="200"/>
        <w:textAlignment w:val="auto"/>
        <w:rPr>
          <w:rFonts w:ascii="宋体" w:hAnsi="宋体" w:eastAsia="宋体" w:cs="宋体"/>
          <w:sz w:val="24"/>
          <w:szCs w:val="24"/>
        </w:rPr>
      </w:pPr>
      <w:r>
        <w:rPr>
          <w:rFonts w:ascii="宋体" w:hAnsi="宋体" w:eastAsia="宋体" w:cs="宋体"/>
          <w:b/>
          <w:bCs/>
          <w:spacing w:val="-9"/>
          <w:sz w:val="24"/>
          <w:szCs w:val="24"/>
        </w:rPr>
        <w:t>四、考核主体</w:t>
      </w:r>
    </w:p>
    <w:p w14:paraId="1EFF3462">
      <w:pPr>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ascii="宋体" w:hAnsi="宋体" w:eastAsia="宋体" w:cs="宋体"/>
          <w:sz w:val="24"/>
          <w:szCs w:val="24"/>
        </w:rPr>
      </w:pPr>
      <w:r>
        <w:rPr>
          <w:rFonts w:ascii="宋体" w:hAnsi="宋体" w:eastAsia="宋体" w:cs="宋体"/>
          <w:spacing w:val="-2"/>
          <w:sz w:val="24"/>
          <w:szCs w:val="24"/>
        </w:rPr>
        <w:t>园区建管办成立养护考核小组，考核主体为园区建管办相关人员组成。</w:t>
      </w:r>
    </w:p>
    <w:p w14:paraId="7BF2628C">
      <w:pPr>
        <w:keepNext w:val="0"/>
        <w:keepLines w:val="0"/>
        <w:pageBreakBefore w:val="0"/>
        <w:widowControl w:val="0"/>
        <w:kinsoku/>
        <w:wordWrap/>
        <w:overflowPunct/>
        <w:topLinePunct w:val="0"/>
        <w:autoSpaceDE/>
        <w:autoSpaceDN/>
        <w:bidi w:val="0"/>
        <w:adjustRightInd/>
        <w:snapToGrid/>
        <w:spacing w:line="360" w:lineRule="auto"/>
        <w:ind w:firstLine="462" w:firstLineChars="200"/>
        <w:textAlignment w:val="auto"/>
        <w:rPr>
          <w:rFonts w:ascii="宋体" w:hAnsi="宋体" w:eastAsia="宋体" w:cs="宋体"/>
          <w:sz w:val="24"/>
          <w:szCs w:val="24"/>
        </w:rPr>
      </w:pPr>
      <w:r>
        <w:rPr>
          <w:rFonts w:ascii="宋体" w:hAnsi="宋体" w:eastAsia="宋体" w:cs="宋体"/>
          <w:b/>
          <w:bCs/>
          <w:spacing w:val="-5"/>
          <w:sz w:val="24"/>
          <w:szCs w:val="24"/>
        </w:rPr>
        <w:t>五、考核方法</w:t>
      </w:r>
    </w:p>
    <w:p w14:paraId="6E9230A9">
      <w:pPr>
        <w:keepNext w:val="0"/>
        <w:keepLines w:val="0"/>
        <w:pageBreakBefore w:val="0"/>
        <w:widowControl w:val="0"/>
        <w:kinsoku/>
        <w:wordWrap/>
        <w:overflowPunct/>
        <w:topLinePunct w:val="0"/>
        <w:autoSpaceDE/>
        <w:autoSpaceDN/>
        <w:bidi w:val="0"/>
        <w:adjustRightInd/>
        <w:snapToGrid/>
        <w:spacing w:line="360" w:lineRule="auto"/>
        <w:ind w:right="26" w:firstLine="480" w:firstLineChars="200"/>
        <w:jc w:val="both"/>
        <w:textAlignment w:val="auto"/>
        <w:rPr>
          <w:rFonts w:ascii="宋体" w:hAnsi="宋体" w:eastAsia="宋体" w:cs="宋体"/>
          <w:sz w:val="24"/>
          <w:szCs w:val="24"/>
        </w:rPr>
      </w:pPr>
      <w:r>
        <w:rPr>
          <w:rFonts w:ascii="宋体" w:hAnsi="宋体" w:eastAsia="宋体" w:cs="宋体"/>
          <w:sz w:val="24"/>
          <w:szCs w:val="24"/>
        </w:rPr>
        <w:t>采取日常督办与每月定期抽查、考核的办法，由园区建</w:t>
      </w:r>
      <w:r>
        <w:rPr>
          <w:rFonts w:ascii="宋体" w:hAnsi="宋体" w:eastAsia="宋体" w:cs="宋体"/>
          <w:spacing w:val="-1"/>
          <w:sz w:val="24"/>
          <w:szCs w:val="24"/>
        </w:rPr>
        <w:t>管办管理，每月考核评</w:t>
      </w:r>
      <w:r>
        <w:rPr>
          <w:rFonts w:ascii="宋体" w:hAnsi="宋体" w:eastAsia="宋体" w:cs="宋体"/>
          <w:spacing w:val="-2"/>
          <w:sz w:val="24"/>
          <w:szCs w:val="24"/>
        </w:rPr>
        <w:t>分汇总</w:t>
      </w:r>
      <w:r>
        <w:rPr>
          <w:rFonts w:ascii="宋体" w:hAnsi="宋体" w:eastAsia="宋体" w:cs="宋体"/>
          <w:spacing w:val="-17"/>
          <w:sz w:val="24"/>
          <w:szCs w:val="24"/>
        </w:rPr>
        <w:t xml:space="preserve"> </w:t>
      </w:r>
      <w:r>
        <w:rPr>
          <w:rFonts w:ascii="宋体" w:hAnsi="宋体" w:eastAsia="宋体" w:cs="宋体"/>
          <w:spacing w:val="-2"/>
          <w:sz w:val="24"/>
          <w:szCs w:val="24"/>
        </w:rPr>
        <w:t>1</w:t>
      </w:r>
      <w:r>
        <w:rPr>
          <w:rFonts w:ascii="宋体" w:hAnsi="宋体" w:eastAsia="宋体" w:cs="宋体"/>
          <w:spacing w:val="-41"/>
          <w:sz w:val="24"/>
          <w:szCs w:val="24"/>
        </w:rPr>
        <w:t xml:space="preserve"> </w:t>
      </w:r>
      <w:r>
        <w:rPr>
          <w:rFonts w:ascii="宋体" w:hAnsi="宋体" w:eastAsia="宋体" w:cs="宋体"/>
          <w:spacing w:val="-2"/>
          <w:sz w:val="24"/>
          <w:szCs w:val="24"/>
        </w:rPr>
        <w:t>次，年底进行统一综合评定。考核结果作为发放绿化养护管理实际经费的</w:t>
      </w:r>
      <w:r>
        <w:rPr>
          <w:rFonts w:ascii="宋体" w:hAnsi="宋体" w:eastAsia="宋体" w:cs="宋体"/>
          <w:spacing w:val="-11"/>
          <w:sz w:val="24"/>
          <w:szCs w:val="24"/>
        </w:rPr>
        <w:t>依据。</w:t>
      </w:r>
    </w:p>
    <w:p w14:paraId="4BB11720">
      <w:pPr>
        <w:keepNext w:val="0"/>
        <w:keepLines w:val="0"/>
        <w:pageBreakBefore w:val="0"/>
        <w:widowControl w:val="0"/>
        <w:kinsoku/>
        <w:wordWrap/>
        <w:overflowPunct/>
        <w:topLinePunct w:val="0"/>
        <w:autoSpaceDE/>
        <w:autoSpaceDN/>
        <w:bidi w:val="0"/>
        <w:adjustRightInd/>
        <w:snapToGrid/>
        <w:spacing w:line="360" w:lineRule="auto"/>
        <w:ind w:right="28" w:firstLine="476" w:firstLineChars="200"/>
        <w:textAlignment w:val="auto"/>
        <w:rPr>
          <w:rFonts w:ascii="宋体" w:hAnsi="宋体" w:eastAsia="宋体" w:cs="宋体"/>
          <w:sz w:val="24"/>
          <w:szCs w:val="24"/>
        </w:rPr>
      </w:pPr>
      <w:r>
        <w:rPr>
          <w:rFonts w:ascii="宋体" w:hAnsi="宋体" w:eastAsia="宋体" w:cs="宋体"/>
          <w:spacing w:val="-1"/>
          <w:sz w:val="24"/>
          <w:szCs w:val="24"/>
        </w:rPr>
        <w:t>1.绿化管护日常督办由考核小组进行定期、不定期检查，发现问题及时拍照记</w:t>
      </w:r>
      <w:r>
        <w:rPr>
          <w:rFonts w:ascii="宋体" w:hAnsi="宋体" w:eastAsia="宋体" w:cs="宋体"/>
          <w:sz w:val="24"/>
          <w:szCs w:val="24"/>
        </w:rPr>
        <w:t>录，考核组通过派发问题清单至养护单位，责令其限期整改</w:t>
      </w:r>
      <w:r>
        <w:rPr>
          <w:rFonts w:ascii="宋体" w:hAnsi="宋体" w:eastAsia="宋体" w:cs="宋体"/>
          <w:spacing w:val="-1"/>
          <w:sz w:val="24"/>
          <w:szCs w:val="24"/>
        </w:rPr>
        <w:t>，确保管护工作达标创</w:t>
      </w:r>
      <w:r>
        <w:rPr>
          <w:rFonts w:ascii="宋体" w:hAnsi="宋体" w:eastAsia="宋体" w:cs="宋体"/>
          <w:spacing w:val="-11"/>
          <w:sz w:val="24"/>
          <w:szCs w:val="24"/>
        </w:rPr>
        <w:t>优。</w:t>
      </w:r>
    </w:p>
    <w:p w14:paraId="0202F216">
      <w:pPr>
        <w:keepNext w:val="0"/>
        <w:keepLines w:val="0"/>
        <w:pageBreakBefore w:val="0"/>
        <w:widowControl w:val="0"/>
        <w:kinsoku/>
        <w:wordWrap/>
        <w:overflowPunct/>
        <w:topLinePunct w:val="0"/>
        <w:autoSpaceDE/>
        <w:autoSpaceDN/>
        <w:bidi w:val="0"/>
        <w:adjustRightInd/>
        <w:snapToGrid/>
        <w:spacing w:line="360" w:lineRule="auto"/>
        <w:ind w:left="22" w:right="27" w:firstLine="448" w:firstLineChars="200"/>
        <w:textAlignment w:val="auto"/>
        <w:rPr>
          <w:rFonts w:ascii="宋体" w:hAnsi="宋体" w:eastAsia="宋体" w:cs="宋体"/>
          <w:sz w:val="24"/>
          <w:szCs w:val="24"/>
        </w:rPr>
      </w:pPr>
      <w:r>
        <w:rPr>
          <w:rFonts w:ascii="宋体" w:hAnsi="宋体" w:eastAsia="宋体" w:cs="宋体"/>
          <w:spacing w:val="-8"/>
          <w:sz w:val="24"/>
          <w:szCs w:val="24"/>
        </w:rPr>
        <w:t>2.每月定期抽查考核。由考核小组于当月</w:t>
      </w:r>
      <w:r>
        <w:rPr>
          <w:rFonts w:ascii="宋体" w:hAnsi="宋体" w:eastAsia="宋体" w:cs="宋体"/>
          <w:spacing w:val="-43"/>
          <w:sz w:val="24"/>
          <w:szCs w:val="24"/>
        </w:rPr>
        <w:t xml:space="preserve"> </w:t>
      </w:r>
      <w:r>
        <w:rPr>
          <w:rFonts w:ascii="宋体" w:hAnsi="宋体" w:eastAsia="宋体" w:cs="宋体"/>
          <w:spacing w:val="-8"/>
          <w:sz w:val="24"/>
          <w:szCs w:val="24"/>
        </w:rPr>
        <w:t>3 日至</w:t>
      </w:r>
      <w:r>
        <w:rPr>
          <w:rFonts w:ascii="宋体" w:hAnsi="宋体" w:eastAsia="宋体" w:cs="宋体"/>
          <w:spacing w:val="-33"/>
          <w:sz w:val="24"/>
          <w:szCs w:val="24"/>
        </w:rPr>
        <w:t xml:space="preserve"> </w:t>
      </w:r>
      <w:r>
        <w:rPr>
          <w:rFonts w:ascii="宋体" w:hAnsi="宋体" w:eastAsia="宋体" w:cs="宋体"/>
          <w:spacing w:val="-8"/>
          <w:sz w:val="24"/>
          <w:szCs w:val="24"/>
        </w:rPr>
        <w:t>10 日到现场按照《常阴沙现代</w:t>
      </w:r>
      <w:r>
        <w:rPr>
          <w:rFonts w:ascii="宋体" w:hAnsi="宋体" w:eastAsia="宋体" w:cs="宋体"/>
          <w:sz w:val="24"/>
          <w:szCs w:val="24"/>
        </w:rPr>
        <w:t>农业示范园区镇级绿化养护考核百分细则》考核要求进行现</w:t>
      </w:r>
      <w:r>
        <w:rPr>
          <w:rFonts w:ascii="宋体" w:hAnsi="宋体" w:eastAsia="宋体" w:cs="宋体"/>
          <w:spacing w:val="-1"/>
          <w:sz w:val="24"/>
          <w:szCs w:val="24"/>
        </w:rPr>
        <w:t>场抽查，采取重点主干</w:t>
      </w:r>
      <w:r>
        <w:rPr>
          <w:rFonts w:ascii="宋体" w:hAnsi="宋体" w:eastAsia="宋体" w:cs="宋体"/>
          <w:sz w:val="24"/>
          <w:szCs w:val="24"/>
        </w:rPr>
        <w:t>道必查与普通次干道抽查相结合的办法，在考核过程中发现的</w:t>
      </w:r>
      <w:r>
        <w:rPr>
          <w:rFonts w:ascii="宋体" w:hAnsi="宋体" w:eastAsia="宋体" w:cs="宋体"/>
          <w:spacing w:val="-1"/>
          <w:sz w:val="24"/>
          <w:szCs w:val="24"/>
        </w:rPr>
        <w:t>问题，以书面整改通</w:t>
      </w:r>
      <w:r>
        <w:rPr>
          <w:rFonts w:ascii="宋体" w:hAnsi="宋体" w:eastAsia="宋体" w:cs="宋体"/>
          <w:sz w:val="24"/>
          <w:szCs w:val="24"/>
        </w:rPr>
        <w:t>知书形式现场下发至养护单位，责令限期整改</w:t>
      </w:r>
      <w:r>
        <w:rPr>
          <w:rFonts w:ascii="宋体" w:hAnsi="宋体" w:eastAsia="宋体" w:cs="宋体"/>
          <w:spacing w:val="-1"/>
          <w:sz w:val="24"/>
          <w:szCs w:val="24"/>
        </w:rPr>
        <w:t>，月底统计汇总整改完成情况，并结合当月日常督查考核掌握的情况，对各管护</w:t>
      </w:r>
      <w:r>
        <w:rPr>
          <w:rFonts w:ascii="宋体" w:hAnsi="宋体" w:eastAsia="宋体" w:cs="宋体"/>
          <w:spacing w:val="-2"/>
          <w:sz w:val="24"/>
          <w:szCs w:val="24"/>
        </w:rPr>
        <w:t>地块进行月度综合考核评分。</w:t>
      </w:r>
    </w:p>
    <w:p w14:paraId="046DB8A6">
      <w:pPr>
        <w:keepNext w:val="0"/>
        <w:keepLines w:val="0"/>
        <w:pageBreakBefore w:val="0"/>
        <w:widowControl w:val="0"/>
        <w:kinsoku/>
        <w:wordWrap/>
        <w:overflowPunct/>
        <w:topLinePunct w:val="0"/>
        <w:autoSpaceDE/>
        <w:autoSpaceDN/>
        <w:bidi w:val="0"/>
        <w:adjustRightInd/>
        <w:snapToGrid/>
        <w:spacing w:line="360" w:lineRule="auto"/>
        <w:ind w:right="27" w:firstLine="500" w:firstLineChars="200"/>
        <w:jc w:val="both"/>
        <w:textAlignment w:val="auto"/>
        <w:rPr>
          <w:rFonts w:ascii="宋体" w:hAnsi="宋体" w:eastAsia="宋体" w:cs="宋体"/>
          <w:sz w:val="24"/>
          <w:szCs w:val="24"/>
        </w:rPr>
      </w:pPr>
      <w:r>
        <w:rPr>
          <w:rFonts w:ascii="宋体" w:hAnsi="宋体" w:eastAsia="宋体" w:cs="宋体"/>
          <w:spacing w:val="5"/>
          <w:sz w:val="24"/>
          <w:szCs w:val="24"/>
        </w:rPr>
        <w:t>3.</w:t>
      </w:r>
      <w:r>
        <w:rPr>
          <w:rFonts w:ascii="宋体" w:hAnsi="宋体" w:eastAsia="宋体" w:cs="宋体"/>
          <w:spacing w:val="-62"/>
          <w:sz w:val="24"/>
          <w:szCs w:val="24"/>
        </w:rPr>
        <w:t xml:space="preserve"> </w:t>
      </w:r>
      <w:r>
        <w:rPr>
          <w:rFonts w:ascii="宋体" w:hAnsi="宋体" w:eastAsia="宋体" w:cs="宋体"/>
          <w:spacing w:val="5"/>
          <w:sz w:val="24"/>
          <w:szCs w:val="24"/>
        </w:rPr>
        <w:t>日常考核及月度集中考核中发现的问题，养护单位整</w:t>
      </w:r>
      <w:r>
        <w:rPr>
          <w:rFonts w:ascii="宋体" w:hAnsi="宋体" w:eastAsia="宋体" w:cs="宋体"/>
          <w:spacing w:val="4"/>
          <w:sz w:val="24"/>
          <w:szCs w:val="24"/>
        </w:rPr>
        <w:t>改不及时或整改不到</w:t>
      </w:r>
      <w:r>
        <w:rPr>
          <w:rFonts w:ascii="宋体" w:hAnsi="宋体" w:eastAsia="宋体" w:cs="宋体"/>
          <w:sz w:val="24"/>
          <w:szCs w:val="24"/>
        </w:rPr>
        <w:t>位，对应考核细则中的扣分项予以加倍扣分，依次累加；</w:t>
      </w:r>
      <w:r>
        <w:rPr>
          <w:rFonts w:ascii="宋体" w:hAnsi="宋体" w:eastAsia="宋体" w:cs="宋体"/>
          <w:spacing w:val="-1"/>
          <w:sz w:val="24"/>
          <w:szCs w:val="24"/>
        </w:rPr>
        <w:t>如果连续两个月考核重复</w:t>
      </w:r>
      <w:r>
        <w:rPr>
          <w:rFonts w:ascii="宋体" w:hAnsi="宋体" w:eastAsia="宋体" w:cs="宋体"/>
          <w:spacing w:val="-2"/>
          <w:sz w:val="24"/>
          <w:szCs w:val="24"/>
        </w:rPr>
        <w:t>出现同一问题，对应考核细则中的扣分项予以加倍扣分，依次累加。</w:t>
      </w:r>
    </w:p>
    <w:p w14:paraId="4EE3DF53">
      <w:pPr>
        <w:keepNext w:val="0"/>
        <w:keepLines w:val="0"/>
        <w:pageBreakBefore w:val="0"/>
        <w:widowControl w:val="0"/>
        <w:kinsoku/>
        <w:wordWrap/>
        <w:overflowPunct/>
        <w:topLinePunct w:val="0"/>
        <w:autoSpaceDE/>
        <w:autoSpaceDN/>
        <w:bidi w:val="0"/>
        <w:adjustRightInd/>
        <w:snapToGrid/>
        <w:spacing w:line="360" w:lineRule="auto"/>
        <w:ind w:firstLine="466" w:firstLineChars="200"/>
        <w:textAlignment w:val="auto"/>
        <w:rPr>
          <w:rFonts w:ascii="宋体" w:hAnsi="宋体" w:eastAsia="宋体" w:cs="宋体"/>
          <w:sz w:val="24"/>
          <w:szCs w:val="24"/>
        </w:rPr>
      </w:pPr>
      <w:r>
        <w:rPr>
          <w:rFonts w:ascii="宋体" w:hAnsi="宋体" w:eastAsia="宋体" w:cs="宋体"/>
          <w:b/>
          <w:bCs/>
          <w:spacing w:val="-4"/>
          <w:sz w:val="24"/>
          <w:szCs w:val="24"/>
        </w:rPr>
        <w:t>六、考核评分与细则</w:t>
      </w:r>
    </w:p>
    <w:p w14:paraId="795BEA5D">
      <w:pPr>
        <w:keepNext w:val="0"/>
        <w:keepLines w:val="0"/>
        <w:pageBreakBefore w:val="0"/>
        <w:widowControl w:val="0"/>
        <w:kinsoku/>
        <w:wordWrap/>
        <w:overflowPunct/>
        <w:topLinePunct w:val="0"/>
        <w:autoSpaceDE/>
        <w:autoSpaceDN/>
        <w:bidi w:val="0"/>
        <w:adjustRightInd/>
        <w:snapToGrid/>
        <w:spacing w:line="360" w:lineRule="auto"/>
        <w:ind w:right="27" w:firstLine="476" w:firstLineChars="200"/>
        <w:textAlignment w:val="auto"/>
        <w:rPr>
          <w:rFonts w:ascii="宋体" w:hAnsi="宋体" w:eastAsia="宋体" w:cs="宋体"/>
          <w:sz w:val="24"/>
          <w:szCs w:val="24"/>
        </w:rPr>
      </w:pPr>
      <w:r>
        <w:rPr>
          <w:rFonts w:ascii="宋体" w:hAnsi="宋体" w:eastAsia="宋体" w:cs="宋体"/>
          <w:spacing w:val="-1"/>
          <w:sz w:val="24"/>
          <w:szCs w:val="24"/>
        </w:rPr>
        <w:t>1.月度考核具体分为月度直接扣分类与月度直接扣款类，其中直接扣分类考核</w:t>
      </w:r>
      <w:r>
        <w:rPr>
          <w:rFonts w:ascii="宋体" w:hAnsi="宋体" w:eastAsia="宋体" w:cs="宋体"/>
          <w:spacing w:val="1"/>
          <w:sz w:val="24"/>
          <w:szCs w:val="24"/>
        </w:rPr>
        <w:t>项目为</w:t>
      </w:r>
      <w:r>
        <w:rPr>
          <w:rFonts w:ascii="宋体" w:hAnsi="宋体" w:eastAsia="宋体" w:cs="宋体"/>
          <w:spacing w:val="-7"/>
          <w:sz w:val="24"/>
          <w:szCs w:val="24"/>
        </w:rPr>
        <w:t>：（</w:t>
      </w:r>
      <w:r>
        <w:rPr>
          <w:rFonts w:ascii="宋体" w:hAnsi="宋体" w:eastAsia="宋体" w:cs="宋体"/>
          <w:spacing w:val="1"/>
          <w:sz w:val="24"/>
          <w:szCs w:val="24"/>
        </w:rPr>
        <w:t>1）绿地环境维护类</w:t>
      </w:r>
      <w:r>
        <w:rPr>
          <w:rFonts w:ascii="宋体" w:hAnsi="宋体" w:eastAsia="宋体" w:cs="宋体"/>
          <w:spacing w:val="-7"/>
          <w:sz w:val="24"/>
          <w:szCs w:val="24"/>
        </w:rPr>
        <w:t>；（</w:t>
      </w:r>
      <w:r>
        <w:rPr>
          <w:rFonts w:ascii="宋体" w:hAnsi="宋体" w:eastAsia="宋体" w:cs="宋体"/>
          <w:spacing w:val="1"/>
          <w:sz w:val="24"/>
          <w:szCs w:val="24"/>
        </w:rPr>
        <w:t>2）植物养护类</w:t>
      </w:r>
      <w:r>
        <w:rPr>
          <w:rFonts w:ascii="宋体" w:hAnsi="宋体" w:eastAsia="宋体" w:cs="宋体"/>
          <w:spacing w:val="-7"/>
          <w:sz w:val="24"/>
          <w:szCs w:val="24"/>
        </w:rPr>
        <w:t>；（</w:t>
      </w:r>
      <w:r>
        <w:rPr>
          <w:rFonts w:ascii="宋体" w:hAnsi="宋体" w:eastAsia="宋体" w:cs="宋体"/>
          <w:spacing w:val="1"/>
          <w:sz w:val="24"/>
          <w:szCs w:val="24"/>
        </w:rPr>
        <w:t>3）绿地保护类</w:t>
      </w:r>
      <w:r>
        <w:rPr>
          <w:rFonts w:ascii="宋体" w:hAnsi="宋体" w:eastAsia="宋体" w:cs="宋体"/>
          <w:spacing w:val="-7"/>
          <w:sz w:val="24"/>
          <w:szCs w:val="24"/>
        </w:rPr>
        <w:t>；（</w:t>
      </w:r>
      <w:r>
        <w:rPr>
          <w:rFonts w:ascii="宋体" w:hAnsi="宋体" w:eastAsia="宋体" w:cs="宋体"/>
          <w:spacing w:val="1"/>
          <w:sz w:val="24"/>
          <w:szCs w:val="24"/>
        </w:rPr>
        <w:t>4）组织管理类。直接扣款类考核项目为</w:t>
      </w:r>
      <w:r>
        <w:rPr>
          <w:rFonts w:ascii="宋体" w:hAnsi="宋体" w:eastAsia="宋体" w:cs="宋体"/>
          <w:spacing w:val="-28"/>
          <w:sz w:val="24"/>
          <w:szCs w:val="24"/>
        </w:rPr>
        <w:t>：</w:t>
      </w:r>
      <w:r>
        <w:rPr>
          <w:rFonts w:ascii="宋体" w:hAnsi="宋体" w:eastAsia="宋体" w:cs="宋体"/>
          <w:spacing w:val="-7"/>
          <w:sz w:val="24"/>
          <w:szCs w:val="24"/>
        </w:rPr>
        <w:t>（</w:t>
      </w:r>
      <w:r>
        <w:rPr>
          <w:rFonts w:ascii="宋体" w:hAnsi="宋体" w:eastAsia="宋体" w:cs="宋体"/>
          <w:spacing w:val="1"/>
          <w:sz w:val="24"/>
          <w:szCs w:val="24"/>
        </w:rPr>
        <w:t>1）安全防范类</w:t>
      </w:r>
      <w:r>
        <w:rPr>
          <w:rFonts w:ascii="宋体" w:hAnsi="宋体" w:eastAsia="宋体" w:cs="宋体"/>
          <w:spacing w:val="-28"/>
          <w:sz w:val="24"/>
          <w:szCs w:val="24"/>
        </w:rPr>
        <w:t>；</w:t>
      </w:r>
      <w:r>
        <w:rPr>
          <w:rFonts w:ascii="宋体" w:hAnsi="宋体" w:eastAsia="宋体" w:cs="宋体"/>
          <w:spacing w:val="-7"/>
          <w:sz w:val="24"/>
          <w:szCs w:val="24"/>
        </w:rPr>
        <w:t>（</w:t>
      </w:r>
      <w:r>
        <w:rPr>
          <w:rFonts w:ascii="宋体" w:hAnsi="宋体" w:eastAsia="宋体" w:cs="宋体"/>
          <w:spacing w:val="1"/>
          <w:sz w:val="24"/>
          <w:szCs w:val="24"/>
        </w:rPr>
        <w:t>2）会议纪律类</w:t>
      </w:r>
      <w:r>
        <w:rPr>
          <w:rFonts w:ascii="宋体" w:hAnsi="宋体" w:eastAsia="宋体" w:cs="宋体"/>
          <w:spacing w:val="-28"/>
          <w:sz w:val="24"/>
          <w:szCs w:val="24"/>
        </w:rPr>
        <w:t>；</w:t>
      </w:r>
      <w:r>
        <w:rPr>
          <w:rFonts w:ascii="宋体" w:hAnsi="宋体" w:eastAsia="宋体" w:cs="宋体"/>
          <w:spacing w:val="-7"/>
          <w:sz w:val="24"/>
          <w:szCs w:val="24"/>
        </w:rPr>
        <w:t>（</w:t>
      </w:r>
      <w:r>
        <w:rPr>
          <w:rFonts w:ascii="宋体" w:hAnsi="宋体" w:eastAsia="宋体" w:cs="宋体"/>
          <w:spacing w:val="1"/>
          <w:sz w:val="24"/>
          <w:szCs w:val="24"/>
        </w:rPr>
        <w:t>3）违禁</w:t>
      </w:r>
      <w:r>
        <w:rPr>
          <w:rFonts w:ascii="宋体" w:hAnsi="宋体" w:eastAsia="宋体" w:cs="宋体"/>
          <w:spacing w:val="-11"/>
          <w:sz w:val="24"/>
          <w:szCs w:val="24"/>
        </w:rPr>
        <w:t>行为。</w:t>
      </w:r>
    </w:p>
    <w:p w14:paraId="41CA4A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2.对考核中发现的问题通过现场照相、视频、</w:t>
      </w:r>
      <w:r>
        <w:rPr>
          <w:rFonts w:ascii="宋体" w:hAnsi="宋体" w:eastAsia="宋体" w:cs="宋体"/>
          <w:spacing w:val="-1"/>
          <w:sz w:val="24"/>
          <w:szCs w:val="24"/>
        </w:rPr>
        <w:t>现场指出等方式即时记录并以图</w:t>
      </w:r>
      <w:r>
        <w:rPr>
          <w:rFonts w:ascii="宋体" w:hAnsi="宋体" w:eastAsia="宋体" w:cs="宋体"/>
          <w:spacing w:val="-6"/>
          <w:sz w:val="24"/>
          <w:szCs w:val="24"/>
        </w:rPr>
        <w:t>片的形式放入养护工作群，责令限期整改到位；并以整改通知书的形式发放给养护、</w:t>
      </w:r>
      <w:r>
        <w:rPr>
          <w:rFonts w:ascii="宋体" w:hAnsi="宋体" w:eastAsia="宋体" w:cs="宋体"/>
          <w:sz w:val="24"/>
          <w:szCs w:val="24"/>
        </w:rPr>
        <w:t>施工单位养护负责人签字确认。打分时按照月度检查中发现</w:t>
      </w:r>
      <w:r>
        <w:rPr>
          <w:rFonts w:ascii="宋体" w:hAnsi="宋体" w:eastAsia="宋体" w:cs="宋体"/>
          <w:spacing w:val="-1"/>
          <w:sz w:val="24"/>
          <w:szCs w:val="24"/>
        </w:rPr>
        <w:t>的问题，对照考核细则</w:t>
      </w:r>
      <w:r>
        <w:rPr>
          <w:rFonts w:ascii="宋体" w:hAnsi="宋体" w:eastAsia="宋体" w:cs="宋体"/>
          <w:spacing w:val="-2"/>
          <w:sz w:val="24"/>
          <w:szCs w:val="24"/>
        </w:rPr>
        <w:t>相应条款进行扣分，扣分一般不超过标准得分。</w:t>
      </w:r>
    </w:p>
    <w:p w14:paraId="72D3D6B4">
      <w:pPr>
        <w:keepNext w:val="0"/>
        <w:keepLines w:val="0"/>
        <w:pageBreakBefore w:val="0"/>
        <w:widowControl w:val="0"/>
        <w:kinsoku/>
        <w:wordWrap/>
        <w:overflowPunct/>
        <w:topLinePunct w:val="0"/>
        <w:autoSpaceDE/>
        <w:autoSpaceDN/>
        <w:bidi w:val="0"/>
        <w:adjustRightInd/>
        <w:snapToGrid/>
        <w:spacing w:line="360" w:lineRule="auto"/>
        <w:ind w:right="27" w:firstLine="480" w:firstLineChars="200"/>
        <w:textAlignment w:val="auto"/>
        <w:rPr>
          <w:rFonts w:ascii="宋体" w:hAnsi="宋体" w:eastAsia="宋体" w:cs="宋体"/>
          <w:sz w:val="24"/>
          <w:szCs w:val="24"/>
        </w:rPr>
      </w:pPr>
      <w:r>
        <w:rPr>
          <w:rFonts w:ascii="宋体" w:hAnsi="宋体" w:eastAsia="宋体" w:cs="宋体"/>
          <w:sz w:val="24"/>
          <w:szCs w:val="24"/>
        </w:rPr>
        <w:t>3.如遇重大活动或线路整治以及上级派发</w:t>
      </w:r>
      <w:r>
        <w:rPr>
          <w:rFonts w:ascii="宋体" w:hAnsi="宋体" w:eastAsia="宋体" w:cs="宋体"/>
          <w:spacing w:val="-1"/>
          <w:sz w:val="24"/>
          <w:szCs w:val="24"/>
        </w:rPr>
        <w:t>的临时性、突击性工作任务，养护单位配合不力、未及时完成或完成质量不高的，将在养护</w:t>
      </w:r>
      <w:r>
        <w:rPr>
          <w:rFonts w:ascii="宋体" w:hAnsi="宋体" w:eastAsia="宋体" w:cs="宋体"/>
          <w:spacing w:val="-2"/>
          <w:sz w:val="24"/>
          <w:szCs w:val="24"/>
        </w:rPr>
        <w:t>考核中扣除相应得分。</w:t>
      </w:r>
    </w:p>
    <w:p w14:paraId="0A5DA6DB">
      <w:pPr>
        <w:keepNext w:val="0"/>
        <w:keepLines w:val="0"/>
        <w:pageBreakBefore w:val="0"/>
        <w:widowControl w:val="0"/>
        <w:kinsoku/>
        <w:wordWrap/>
        <w:overflowPunct/>
        <w:topLinePunct w:val="0"/>
        <w:autoSpaceDE/>
        <w:autoSpaceDN/>
        <w:bidi w:val="0"/>
        <w:adjustRightInd/>
        <w:snapToGrid/>
        <w:spacing w:line="360" w:lineRule="auto"/>
        <w:ind w:right="19" w:firstLine="480" w:firstLineChars="200"/>
        <w:textAlignment w:val="auto"/>
        <w:rPr>
          <w:rFonts w:ascii="宋体" w:hAnsi="宋体" w:eastAsia="宋体" w:cs="宋体"/>
          <w:sz w:val="24"/>
          <w:szCs w:val="24"/>
        </w:rPr>
      </w:pPr>
      <w:r>
        <w:rPr>
          <w:rFonts w:ascii="宋体" w:hAnsi="宋体" w:eastAsia="宋体" w:cs="宋体"/>
          <w:sz w:val="24"/>
          <w:szCs w:val="24"/>
        </w:rPr>
        <w:t>4.考核人员每月按实际绿化养护情况对照考核细则进行打</w:t>
      </w:r>
      <w:r>
        <w:rPr>
          <w:rFonts w:ascii="宋体" w:hAnsi="宋体" w:eastAsia="宋体" w:cs="宋体"/>
          <w:spacing w:val="-1"/>
          <w:sz w:val="24"/>
          <w:szCs w:val="24"/>
        </w:rPr>
        <w:t>分，考核分数分为质量合格分及质量创优分，85</w:t>
      </w:r>
      <w:r>
        <w:rPr>
          <w:rFonts w:ascii="宋体" w:hAnsi="宋体" w:eastAsia="宋体" w:cs="宋体"/>
          <w:spacing w:val="-45"/>
          <w:sz w:val="24"/>
          <w:szCs w:val="24"/>
        </w:rPr>
        <w:t xml:space="preserve"> </w:t>
      </w:r>
      <w:r>
        <w:rPr>
          <w:rFonts w:ascii="宋体" w:hAnsi="宋体" w:eastAsia="宋体" w:cs="宋体"/>
          <w:spacing w:val="-1"/>
          <w:sz w:val="24"/>
          <w:szCs w:val="24"/>
        </w:rPr>
        <w:t>分（含）-90</w:t>
      </w:r>
      <w:r>
        <w:rPr>
          <w:rFonts w:ascii="宋体" w:hAnsi="宋体" w:eastAsia="宋体" w:cs="宋体"/>
          <w:spacing w:val="-45"/>
          <w:sz w:val="24"/>
          <w:szCs w:val="24"/>
        </w:rPr>
        <w:t xml:space="preserve"> </w:t>
      </w:r>
      <w:r>
        <w:rPr>
          <w:rFonts w:ascii="宋体" w:hAnsi="宋体" w:eastAsia="宋体" w:cs="宋体"/>
          <w:spacing w:val="-1"/>
          <w:sz w:val="24"/>
          <w:szCs w:val="24"/>
        </w:rPr>
        <w:t>分（不含）区间为质量合格分，创优分为</w:t>
      </w:r>
      <w:r>
        <w:rPr>
          <w:rFonts w:ascii="宋体" w:hAnsi="宋体" w:eastAsia="宋体" w:cs="宋体"/>
          <w:spacing w:val="-3"/>
          <w:sz w:val="24"/>
          <w:szCs w:val="24"/>
        </w:rPr>
        <w:t>90</w:t>
      </w:r>
      <w:r>
        <w:rPr>
          <w:rFonts w:ascii="宋体" w:hAnsi="宋体" w:eastAsia="宋体" w:cs="宋体"/>
          <w:spacing w:val="-48"/>
          <w:sz w:val="24"/>
          <w:szCs w:val="24"/>
        </w:rPr>
        <w:t xml:space="preserve"> </w:t>
      </w:r>
      <w:r>
        <w:rPr>
          <w:rFonts w:ascii="宋体" w:hAnsi="宋体" w:eastAsia="宋体" w:cs="宋体"/>
          <w:spacing w:val="-3"/>
          <w:sz w:val="24"/>
          <w:szCs w:val="24"/>
        </w:rPr>
        <w:t>分。考核得分达</w:t>
      </w:r>
      <w:r>
        <w:rPr>
          <w:rFonts w:ascii="宋体" w:hAnsi="宋体" w:eastAsia="宋体" w:cs="宋体"/>
          <w:spacing w:val="-49"/>
          <w:sz w:val="24"/>
          <w:szCs w:val="24"/>
        </w:rPr>
        <w:t xml:space="preserve"> </w:t>
      </w:r>
      <w:r>
        <w:rPr>
          <w:rFonts w:ascii="宋体" w:hAnsi="宋体" w:eastAsia="宋体" w:cs="宋体"/>
          <w:spacing w:val="-3"/>
          <w:sz w:val="24"/>
          <w:szCs w:val="24"/>
        </w:rPr>
        <w:t>90</w:t>
      </w:r>
      <w:r>
        <w:rPr>
          <w:rFonts w:ascii="宋体" w:hAnsi="宋体" w:eastAsia="宋体" w:cs="宋体"/>
          <w:spacing w:val="-47"/>
          <w:sz w:val="24"/>
          <w:szCs w:val="24"/>
        </w:rPr>
        <w:t xml:space="preserve"> </w:t>
      </w:r>
      <w:r>
        <w:rPr>
          <w:rFonts w:ascii="宋体" w:hAnsi="宋体" w:eastAsia="宋体" w:cs="宋体"/>
          <w:spacing w:val="-3"/>
          <w:sz w:val="24"/>
          <w:szCs w:val="24"/>
        </w:rPr>
        <w:t>分（含</w:t>
      </w:r>
      <w:r>
        <w:rPr>
          <w:rFonts w:ascii="宋体" w:hAnsi="宋体" w:eastAsia="宋体" w:cs="宋体"/>
          <w:spacing w:val="-5"/>
          <w:sz w:val="24"/>
          <w:szCs w:val="24"/>
        </w:rPr>
        <w:t>），</w:t>
      </w:r>
      <w:r>
        <w:rPr>
          <w:rFonts w:ascii="宋体" w:hAnsi="宋体" w:eastAsia="宋体" w:cs="宋体"/>
          <w:spacing w:val="-3"/>
          <w:sz w:val="24"/>
          <w:szCs w:val="24"/>
        </w:rPr>
        <w:t>全额发放该月地段养护费，低于</w:t>
      </w:r>
      <w:r>
        <w:rPr>
          <w:rFonts w:ascii="宋体" w:hAnsi="宋体" w:eastAsia="宋体" w:cs="宋体"/>
          <w:spacing w:val="-50"/>
          <w:sz w:val="24"/>
          <w:szCs w:val="24"/>
        </w:rPr>
        <w:t xml:space="preserve"> </w:t>
      </w:r>
      <w:r>
        <w:rPr>
          <w:rFonts w:ascii="宋体" w:hAnsi="宋体" w:eastAsia="宋体" w:cs="宋体"/>
          <w:spacing w:val="-3"/>
          <w:sz w:val="24"/>
          <w:szCs w:val="24"/>
        </w:rPr>
        <w:t>90</w:t>
      </w:r>
      <w:r>
        <w:rPr>
          <w:rFonts w:ascii="宋体" w:hAnsi="宋体" w:eastAsia="宋体" w:cs="宋体"/>
          <w:spacing w:val="-47"/>
          <w:sz w:val="24"/>
          <w:szCs w:val="24"/>
        </w:rPr>
        <w:t xml:space="preserve"> </w:t>
      </w:r>
      <w:r>
        <w:rPr>
          <w:rFonts w:ascii="宋体" w:hAnsi="宋体" w:eastAsia="宋体" w:cs="宋体"/>
          <w:spacing w:val="-3"/>
          <w:sz w:val="24"/>
          <w:szCs w:val="24"/>
        </w:rPr>
        <w:t>分（不含</w:t>
      </w:r>
      <w:r>
        <w:rPr>
          <w:rFonts w:ascii="宋体" w:hAnsi="宋体" w:eastAsia="宋体" w:cs="宋体"/>
          <w:spacing w:val="-5"/>
          <w:sz w:val="24"/>
          <w:szCs w:val="24"/>
        </w:rPr>
        <w:t>），</w:t>
      </w:r>
      <w:r>
        <w:rPr>
          <w:rFonts w:ascii="宋体" w:hAnsi="宋体" w:eastAsia="宋体" w:cs="宋体"/>
          <w:spacing w:val="-3"/>
          <w:sz w:val="24"/>
          <w:szCs w:val="24"/>
        </w:rPr>
        <w:t>每低一分扣除承包方当月该标段管护费基数的</w:t>
      </w:r>
      <w:r>
        <w:rPr>
          <w:rFonts w:ascii="宋体" w:hAnsi="宋体" w:eastAsia="宋体" w:cs="宋体"/>
          <w:spacing w:val="-32"/>
          <w:sz w:val="24"/>
          <w:szCs w:val="24"/>
        </w:rPr>
        <w:t xml:space="preserve"> </w:t>
      </w:r>
      <w:r>
        <w:rPr>
          <w:rFonts w:ascii="宋体" w:hAnsi="宋体" w:eastAsia="宋体" w:cs="宋体"/>
          <w:spacing w:val="-3"/>
          <w:sz w:val="24"/>
          <w:szCs w:val="24"/>
        </w:rPr>
        <w:t>3%，低</w:t>
      </w:r>
      <w:r>
        <w:rPr>
          <w:rFonts w:ascii="宋体" w:hAnsi="宋体" w:eastAsia="宋体" w:cs="宋体"/>
          <w:spacing w:val="-4"/>
          <w:sz w:val="24"/>
          <w:szCs w:val="24"/>
        </w:rPr>
        <w:t>于</w:t>
      </w:r>
      <w:r>
        <w:rPr>
          <w:rFonts w:ascii="宋体" w:hAnsi="宋体" w:eastAsia="宋体" w:cs="宋体"/>
          <w:spacing w:val="-23"/>
          <w:sz w:val="24"/>
          <w:szCs w:val="24"/>
        </w:rPr>
        <w:t xml:space="preserve"> </w:t>
      </w:r>
      <w:r>
        <w:rPr>
          <w:rFonts w:ascii="宋体" w:hAnsi="宋体" w:eastAsia="宋体" w:cs="宋体"/>
          <w:spacing w:val="-4"/>
          <w:sz w:val="24"/>
          <w:szCs w:val="24"/>
        </w:rPr>
        <w:t>88</w:t>
      </w:r>
      <w:r>
        <w:rPr>
          <w:rFonts w:ascii="宋体" w:hAnsi="宋体" w:eastAsia="宋体" w:cs="宋体"/>
          <w:spacing w:val="-36"/>
          <w:sz w:val="24"/>
          <w:szCs w:val="24"/>
        </w:rPr>
        <w:t xml:space="preserve"> </w:t>
      </w:r>
      <w:r>
        <w:rPr>
          <w:rFonts w:ascii="宋体" w:hAnsi="宋体" w:eastAsia="宋体" w:cs="宋体"/>
          <w:spacing w:val="-4"/>
          <w:sz w:val="24"/>
          <w:szCs w:val="24"/>
        </w:rPr>
        <w:t>分（不含</w:t>
      </w:r>
      <w:r>
        <w:rPr>
          <w:rFonts w:ascii="宋体" w:hAnsi="宋体" w:eastAsia="宋体" w:cs="宋体"/>
          <w:sz w:val="24"/>
          <w:szCs w:val="24"/>
        </w:rPr>
        <w:t>），</w:t>
      </w:r>
      <w:r>
        <w:rPr>
          <w:rFonts w:ascii="宋体" w:hAnsi="宋体" w:eastAsia="宋体" w:cs="宋体"/>
          <w:spacing w:val="-4"/>
          <w:sz w:val="24"/>
          <w:szCs w:val="24"/>
        </w:rPr>
        <w:t>每低 1</w:t>
      </w:r>
      <w:r>
        <w:rPr>
          <w:rFonts w:ascii="宋体" w:hAnsi="宋体" w:eastAsia="宋体" w:cs="宋体"/>
          <w:spacing w:val="-36"/>
          <w:sz w:val="24"/>
          <w:szCs w:val="24"/>
        </w:rPr>
        <w:t xml:space="preserve"> </w:t>
      </w:r>
      <w:r>
        <w:rPr>
          <w:rFonts w:ascii="宋体" w:hAnsi="宋体" w:eastAsia="宋体" w:cs="宋体"/>
          <w:spacing w:val="-4"/>
          <w:sz w:val="24"/>
          <w:szCs w:val="24"/>
        </w:rPr>
        <w:t>分</w:t>
      </w:r>
      <w:r>
        <w:rPr>
          <w:rFonts w:ascii="宋体" w:hAnsi="宋体" w:eastAsia="宋体" w:cs="宋体"/>
          <w:spacing w:val="-3"/>
          <w:sz w:val="24"/>
          <w:szCs w:val="24"/>
        </w:rPr>
        <w:t>扣除承包方当月该标段管护费基数的</w:t>
      </w:r>
      <w:r>
        <w:rPr>
          <w:rFonts w:ascii="宋体" w:hAnsi="宋体" w:eastAsia="宋体" w:cs="宋体"/>
          <w:spacing w:val="-33"/>
          <w:sz w:val="24"/>
          <w:szCs w:val="24"/>
        </w:rPr>
        <w:t xml:space="preserve"> </w:t>
      </w:r>
      <w:r>
        <w:rPr>
          <w:rFonts w:ascii="宋体" w:hAnsi="宋体" w:eastAsia="宋体" w:cs="宋体"/>
          <w:spacing w:val="-3"/>
          <w:sz w:val="24"/>
          <w:szCs w:val="24"/>
        </w:rPr>
        <w:t>5%，低于</w:t>
      </w:r>
      <w:r>
        <w:rPr>
          <w:rFonts w:ascii="宋体" w:hAnsi="宋体" w:eastAsia="宋体" w:cs="宋体"/>
          <w:spacing w:val="-23"/>
          <w:sz w:val="24"/>
          <w:szCs w:val="24"/>
        </w:rPr>
        <w:t xml:space="preserve"> </w:t>
      </w:r>
      <w:r>
        <w:rPr>
          <w:rFonts w:ascii="宋体" w:hAnsi="宋体" w:eastAsia="宋体" w:cs="宋体"/>
          <w:spacing w:val="-3"/>
          <w:sz w:val="24"/>
          <w:szCs w:val="24"/>
        </w:rPr>
        <w:t>85</w:t>
      </w:r>
      <w:r>
        <w:rPr>
          <w:rFonts w:ascii="宋体" w:hAnsi="宋体" w:eastAsia="宋体" w:cs="宋体"/>
          <w:spacing w:val="-36"/>
          <w:sz w:val="24"/>
          <w:szCs w:val="24"/>
        </w:rPr>
        <w:t xml:space="preserve"> </w:t>
      </w:r>
      <w:r>
        <w:rPr>
          <w:rFonts w:ascii="宋体" w:hAnsi="宋体" w:eastAsia="宋体" w:cs="宋体"/>
          <w:spacing w:val="-3"/>
          <w:sz w:val="24"/>
          <w:szCs w:val="24"/>
        </w:rPr>
        <w:t>分（不含</w:t>
      </w:r>
      <w:r>
        <w:rPr>
          <w:rFonts w:ascii="宋体" w:hAnsi="宋体" w:eastAsia="宋体" w:cs="宋体"/>
          <w:spacing w:val="-2"/>
          <w:sz w:val="24"/>
          <w:szCs w:val="24"/>
        </w:rPr>
        <w:t>），</w:t>
      </w:r>
      <w:r>
        <w:rPr>
          <w:rFonts w:ascii="宋体" w:hAnsi="宋体" w:eastAsia="宋体" w:cs="宋体"/>
          <w:spacing w:val="-3"/>
          <w:sz w:val="24"/>
          <w:szCs w:val="24"/>
        </w:rPr>
        <w:t>每低</w:t>
      </w:r>
      <w:r>
        <w:rPr>
          <w:rFonts w:ascii="宋体" w:hAnsi="宋体" w:eastAsia="宋体" w:cs="宋体"/>
          <w:spacing w:val="-4"/>
          <w:sz w:val="24"/>
          <w:szCs w:val="24"/>
        </w:rPr>
        <w:t xml:space="preserve"> 1</w:t>
      </w:r>
      <w:r>
        <w:rPr>
          <w:rFonts w:ascii="宋体" w:hAnsi="宋体" w:eastAsia="宋体" w:cs="宋体"/>
          <w:spacing w:val="-36"/>
          <w:sz w:val="24"/>
          <w:szCs w:val="24"/>
        </w:rPr>
        <w:t xml:space="preserve"> </w:t>
      </w:r>
      <w:r>
        <w:rPr>
          <w:rFonts w:ascii="宋体" w:hAnsi="宋体" w:eastAsia="宋体" w:cs="宋体"/>
          <w:spacing w:val="-4"/>
          <w:sz w:val="24"/>
          <w:szCs w:val="24"/>
        </w:rPr>
        <w:t>分扣除承包</w:t>
      </w:r>
      <w:r>
        <w:rPr>
          <w:rFonts w:ascii="宋体" w:hAnsi="宋体" w:eastAsia="宋体" w:cs="宋体"/>
          <w:spacing w:val="-2"/>
          <w:sz w:val="24"/>
          <w:szCs w:val="24"/>
        </w:rPr>
        <w:t>方当月该标段管护费基数的</w:t>
      </w:r>
      <w:r>
        <w:rPr>
          <w:rFonts w:ascii="宋体" w:hAnsi="宋体" w:eastAsia="宋体" w:cs="宋体"/>
          <w:spacing w:val="-40"/>
          <w:sz w:val="24"/>
          <w:szCs w:val="24"/>
        </w:rPr>
        <w:t xml:space="preserve"> </w:t>
      </w:r>
      <w:r>
        <w:rPr>
          <w:rFonts w:ascii="宋体" w:hAnsi="宋体" w:eastAsia="宋体" w:cs="宋体"/>
          <w:spacing w:val="-2"/>
          <w:sz w:val="24"/>
          <w:szCs w:val="24"/>
        </w:rPr>
        <w:t>7%。</w:t>
      </w:r>
    </w:p>
    <w:p w14:paraId="00BDDA37">
      <w:pPr>
        <w:keepNext w:val="0"/>
        <w:keepLines w:val="0"/>
        <w:pageBreakBefore w:val="0"/>
        <w:widowControl w:val="0"/>
        <w:kinsoku/>
        <w:wordWrap/>
        <w:overflowPunct/>
        <w:topLinePunct w:val="0"/>
        <w:autoSpaceDE/>
        <w:autoSpaceDN/>
        <w:bidi w:val="0"/>
        <w:adjustRightInd/>
        <w:snapToGrid/>
        <w:spacing w:line="360" w:lineRule="auto"/>
        <w:ind w:right="27" w:firstLine="480" w:firstLineChars="200"/>
        <w:textAlignment w:val="auto"/>
        <w:rPr>
          <w:rFonts w:ascii="宋体" w:hAnsi="宋体" w:eastAsia="宋体" w:cs="宋体"/>
          <w:sz w:val="24"/>
          <w:szCs w:val="24"/>
        </w:rPr>
      </w:pPr>
      <w:r>
        <w:rPr>
          <w:rFonts w:ascii="宋体" w:hAnsi="宋体" w:eastAsia="宋体" w:cs="宋体"/>
          <w:sz w:val="24"/>
          <w:szCs w:val="24"/>
        </w:rPr>
        <w:t>5.直接扣款类为当月考核得分计算出养护</w:t>
      </w:r>
      <w:r>
        <w:rPr>
          <w:rFonts w:ascii="宋体" w:hAnsi="宋体" w:eastAsia="宋体" w:cs="宋体"/>
          <w:spacing w:val="-1"/>
          <w:sz w:val="24"/>
          <w:szCs w:val="24"/>
        </w:rPr>
        <w:t>费后，根据地段日常抽查及定期考核</w:t>
      </w:r>
      <w:r>
        <w:rPr>
          <w:rFonts w:ascii="宋体" w:hAnsi="宋体" w:eastAsia="宋体" w:cs="宋体"/>
          <w:spacing w:val="-2"/>
          <w:sz w:val="24"/>
          <w:szCs w:val="24"/>
        </w:rPr>
        <w:t>发现的违背细则中相应条款内容额外扣除的</w:t>
      </w:r>
      <w:r>
        <w:rPr>
          <w:rFonts w:ascii="宋体" w:hAnsi="宋体" w:eastAsia="宋体" w:cs="宋体"/>
          <w:spacing w:val="-3"/>
          <w:sz w:val="24"/>
          <w:szCs w:val="24"/>
        </w:rPr>
        <w:t>经费。</w:t>
      </w:r>
    </w:p>
    <w:p w14:paraId="753AF9B7">
      <w:pPr>
        <w:keepNext w:val="0"/>
        <w:keepLines w:val="0"/>
        <w:pageBreakBefore w:val="0"/>
        <w:widowControl w:val="0"/>
        <w:kinsoku/>
        <w:wordWrap/>
        <w:overflowPunct/>
        <w:topLinePunct w:val="0"/>
        <w:autoSpaceDE/>
        <w:autoSpaceDN/>
        <w:bidi w:val="0"/>
        <w:adjustRightInd/>
        <w:snapToGrid/>
        <w:spacing w:line="360" w:lineRule="auto"/>
        <w:ind w:firstLine="466" w:firstLineChars="200"/>
        <w:textAlignment w:val="auto"/>
        <w:rPr>
          <w:rFonts w:ascii="宋体" w:hAnsi="宋体" w:eastAsia="宋体" w:cs="宋体"/>
          <w:sz w:val="24"/>
          <w:szCs w:val="24"/>
        </w:rPr>
      </w:pPr>
      <w:r>
        <w:rPr>
          <w:rFonts w:ascii="宋体" w:hAnsi="宋体" w:eastAsia="宋体" w:cs="宋体"/>
          <w:b/>
          <w:bCs/>
          <w:spacing w:val="-4"/>
          <w:sz w:val="24"/>
          <w:szCs w:val="24"/>
        </w:rPr>
        <w:t>七、考核要求</w:t>
      </w:r>
    </w:p>
    <w:p w14:paraId="4B24CC64">
      <w:pPr>
        <w:keepNext w:val="0"/>
        <w:keepLines w:val="0"/>
        <w:pageBreakBefore w:val="0"/>
        <w:widowControl w:val="0"/>
        <w:kinsoku/>
        <w:wordWrap/>
        <w:overflowPunct/>
        <w:topLinePunct w:val="0"/>
        <w:autoSpaceDE/>
        <w:autoSpaceDN/>
        <w:bidi w:val="0"/>
        <w:adjustRightInd/>
        <w:snapToGrid/>
        <w:spacing w:line="360" w:lineRule="auto"/>
        <w:ind w:right="27" w:firstLine="472" w:firstLineChars="200"/>
        <w:textAlignment w:val="auto"/>
        <w:rPr>
          <w:rFonts w:ascii="宋体" w:hAnsi="宋体" w:eastAsia="宋体" w:cs="宋体"/>
          <w:sz w:val="24"/>
          <w:szCs w:val="24"/>
        </w:rPr>
      </w:pPr>
      <w:r>
        <w:rPr>
          <w:rFonts w:ascii="宋体" w:hAnsi="宋体" w:eastAsia="宋体" w:cs="宋体"/>
          <w:spacing w:val="-2"/>
          <w:sz w:val="24"/>
          <w:szCs w:val="24"/>
        </w:rPr>
        <w:t>1.承包方应于每月25日前将当月各自管理范围内的养护总结</w:t>
      </w:r>
      <w:r>
        <w:rPr>
          <w:rFonts w:ascii="宋体" w:hAnsi="宋体" w:eastAsia="宋体" w:cs="宋体"/>
          <w:spacing w:val="-3"/>
          <w:sz w:val="24"/>
          <w:szCs w:val="24"/>
        </w:rPr>
        <w:t>及下月度养护计划报送考核小组，由考核小组收集汇总。</w:t>
      </w:r>
    </w:p>
    <w:p w14:paraId="69326DA9">
      <w:pPr>
        <w:keepNext w:val="0"/>
        <w:keepLines w:val="0"/>
        <w:pageBreakBefore w:val="0"/>
        <w:widowControl w:val="0"/>
        <w:kinsoku/>
        <w:wordWrap/>
        <w:overflowPunct/>
        <w:topLinePunct w:val="0"/>
        <w:autoSpaceDE/>
        <w:autoSpaceDN/>
        <w:bidi w:val="0"/>
        <w:adjustRightInd/>
        <w:snapToGrid/>
        <w:spacing w:line="360" w:lineRule="auto"/>
        <w:ind w:left="24" w:right="41" w:firstLine="496" w:firstLineChars="207"/>
        <w:textAlignment w:val="auto"/>
        <w:rPr>
          <w:rFonts w:ascii="宋体" w:hAnsi="宋体" w:eastAsia="宋体" w:cs="宋体"/>
          <w:sz w:val="24"/>
          <w:szCs w:val="24"/>
        </w:rPr>
      </w:pPr>
      <w:r>
        <w:rPr>
          <w:rFonts w:ascii="宋体" w:hAnsi="宋体" w:eastAsia="宋体" w:cs="宋体"/>
          <w:sz w:val="24"/>
          <w:szCs w:val="24"/>
        </w:rPr>
        <w:t>2.实行人员上岗制度考核，考核小组定期对养</w:t>
      </w:r>
      <w:r>
        <w:rPr>
          <w:rFonts w:ascii="宋体" w:hAnsi="宋体" w:eastAsia="宋体" w:cs="宋体"/>
          <w:spacing w:val="-1"/>
          <w:sz w:val="24"/>
          <w:szCs w:val="24"/>
        </w:rPr>
        <w:t>护单位上岗人员数量、着装进行</w:t>
      </w:r>
      <w:r>
        <w:rPr>
          <w:rFonts w:ascii="宋体" w:hAnsi="宋体" w:eastAsia="宋体" w:cs="宋体"/>
          <w:spacing w:val="-4"/>
          <w:sz w:val="24"/>
          <w:szCs w:val="24"/>
        </w:rPr>
        <w:t>考核。标段养护面积与管护人员数量相匹配，养护人员不少于</w:t>
      </w:r>
      <w:r>
        <w:rPr>
          <w:rFonts w:ascii="宋体" w:hAnsi="宋体" w:eastAsia="宋体" w:cs="宋体"/>
          <w:spacing w:val="-38"/>
          <w:sz w:val="24"/>
          <w:szCs w:val="24"/>
        </w:rPr>
        <w:t xml:space="preserve"> </w:t>
      </w:r>
      <w:r>
        <w:rPr>
          <w:rFonts w:ascii="宋体" w:hAnsi="宋体" w:eastAsia="宋体" w:cs="宋体"/>
          <w:spacing w:val="-4"/>
          <w:sz w:val="24"/>
          <w:szCs w:val="24"/>
        </w:rPr>
        <w:t>20000</w:t>
      </w:r>
      <w:r>
        <w:rPr>
          <w:rFonts w:ascii="宋体" w:hAnsi="宋体" w:eastAsia="宋体" w:cs="宋体"/>
          <w:spacing w:val="-51"/>
          <w:sz w:val="24"/>
          <w:szCs w:val="24"/>
        </w:rPr>
        <w:t xml:space="preserve"> </w:t>
      </w:r>
      <w:r>
        <w:rPr>
          <w:rFonts w:ascii="宋体" w:hAnsi="宋体" w:eastAsia="宋体" w:cs="宋体"/>
          <w:spacing w:val="-4"/>
          <w:sz w:val="24"/>
          <w:szCs w:val="24"/>
        </w:rPr>
        <w:t>平方米/人，其</w:t>
      </w:r>
      <w:r>
        <w:rPr>
          <w:rFonts w:ascii="宋体" w:hAnsi="宋体" w:eastAsia="宋体" w:cs="宋体"/>
          <w:spacing w:val="-1"/>
          <w:sz w:val="24"/>
          <w:szCs w:val="24"/>
        </w:rPr>
        <w:t>中男性壮劳力不少于核定总人数的 1/4。人员考核主要核查人员数量是</w:t>
      </w:r>
      <w:r>
        <w:rPr>
          <w:rFonts w:ascii="宋体" w:hAnsi="宋体" w:eastAsia="宋体" w:cs="宋体"/>
          <w:spacing w:val="-2"/>
          <w:sz w:val="24"/>
          <w:szCs w:val="24"/>
        </w:rPr>
        <w:t>否按要求配备，养护人员是否穿着黄背心、黄马甲等醒目标示的劳动工作服。</w:t>
      </w:r>
    </w:p>
    <w:p w14:paraId="19DC74E0">
      <w:pPr>
        <w:keepNext w:val="0"/>
        <w:keepLines w:val="0"/>
        <w:pageBreakBefore w:val="0"/>
        <w:widowControl w:val="0"/>
        <w:kinsoku/>
        <w:wordWrap/>
        <w:overflowPunct/>
        <w:topLinePunct w:val="0"/>
        <w:autoSpaceDE/>
        <w:autoSpaceDN/>
        <w:bidi w:val="0"/>
        <w:adjustRightInd/>
        <w:snapToGrid/>
        <w:spacing w:line="360" w:lineRule="auto"/>
        <w:ind w:right="30" w:firstLine="480" w:firstLineChars="200"/>
        <w:textAlignment w:val="auto"/>
        <w:rPr>
          <w:rFonts w:ascii="宋体" w:hAnsi="宋体" w:eastAsia="宋体" w:cs="宋体"/>
          <w:sz w:val="24"/>
          <w:szCs w:val="24"/>
        </w:rPr>
      </w:pPr>
      <w:r>
        <w:rPr>
          <w:rFonts w:ascii="宋体" w:hAnsi="宋体" w:eastAsia="宋体" w:cs="宋体"/>
          <w:sz w:val="24"/>
          <w:szCs w:val="24"/>
        </w:rPr>
        <w:t>3.为确保养护质量，承包方养护的绿地、</w:t>
      </w:r>
      <w:r>
        <w:rPr>
          <w:rFonts w:ascii="宋体" w:hAnsi="宋体" w:eastAsia="宋体" w:cs="宋体"/>
          <w:spacing w:val="-1"/>
          <w:sz w:val="24"/>
          <w:szCs w:val="24"/>
        </w:rPr>
        <w:t>林地要落实专人专车巡查，养护人员</w:t>
      </w:r>
      <w:r>
        <w:rPr>
          <w:rFonts w:ascii="宋体" w:hAnsi="宋体" w:eastAsia="宋体" w:cs="宋体"/>
          <w:sz w:val="24"/>
          <w:szCs w:val="24"/>
        </w:rPr>
        <w:t>动态养护管理，全天候作业。发现重大问题（如未经审批的毁</w:t>
      </w:r>
      <w:r>
        <w:rPr>
          <w:rFonts w:ascii="宋体" w:hAnsi="宋体" w:eastAsia="宋体" w:cs="宋体"/>
          <w:spacing w:val="-1"/>
          <w:sz w:val="24"/>
          <w:szCs w:val="24"/>
        </w:rPr>
        <w:t>绿、占绿行为、交通</w:t>
      </w:r>
      <w:r>
        <w:rPr>
          <w:rFonts w:ascii="宋体" w:hAnsi="宋体" w:eastAsia="宋体" w:cs="宋体"/>
          <w:sz w:val="24"/>
          <w:szCs w:val="24"/>
        </w:rPr>
        <w:t>事故等造成的树木倒伏、设施损坏等）时应及时并向考核小</w:t>
      </w:r>
      <w:r>
        <w:rPr>
          <w:rFonts w:ascii="宋体" w:hAnsi="宋体" w:eastAsia="宋体" w:cs="宋体"/>
          <w:spacing w:val="-1"/>
          <w:sz w:val="24"/>
          <w:szCs w:val="24"/>
        </w:rPr>
        <w:t>组汇报并采取临时性应</w:t>
      </w:r>
      <w:r>
        <w:rPr>
          <w:rFonts w:ascii="宋体" w:hAnsi="宋体" w:eastAsia="宋体" w:cs="宋体"/>
          <w:spacing w:val="-9"/>
          <w:sz w:val="24"/>
          <w:szCs w:val="24"/>
        </w:rPr>
        <w:t>对措施。</w:t>
      </w:r>
    </w:p>
    <w:p w14:paraId="5400EEB5">
      <w:pPr>
        <w:keepNext w:val="0"/>
        <w:keepLines w:val="0"/>
        <w:pageBreakBefore w:val="0"/>
        <w:widowControl w:val="0"/>
        <w:kinsoku/>
        <w:wordWrap/>
        <w:overflowPunct/>
        <w:topLinePunct w:val="0"/>
        <w:autoSpaceDE/>
        <w:autoSpaceDN/>
        <w:bidi w:val="0"/>
        <w:adjustRightInd/>
        <w:snapToGrid/>
        <w:spacing w:line="360" w:lineRule="auto"/>
        <w:ind w:right="31" w:firstLine="480" w:firstLineChars="200"/>
        <w:textAlignment w:val="auto"/>
        <w:rPr>
          <w:rFonts w:ascii="宋体" w:hAnsi="宋体" w:eastAsia="宋体" w:cs="宋体"/>
          <w:sz w:val="24"/>
          <w:szCs w:val="24"/>
        </w:rPr>
      </w:pPr>
      <w:r>
        <w:rPr>
          <w:rFonts w:ascii="宋体" w:hAnsi="宋体" w:eastAsia="宋体" w:cs="宋体"/>
          <w:sz w:val="24"/>
          <w:szCs w:val="24"/>
        </w:rPr>
        <w:t>4.承包方在养护期间，必须按照要求采取严格的安全措</w:t>
      </w:r>
      <w:r>
        <w:rPr>
          <w:rFonts w:ascii="宋体" w:hAnsi="宋体" w:eastAsia="宋体" w:cs="宋体"/>
          <w:spacing w:val="-1"/>
          <w:sz w:val="24"/>
          <w:szCs w:val="24"/>
        </w:rPr>
        <w:t>施，避免对养护工作人</w:t>
      </w:r>
      <w:r>
        <w:rPr>
          <w:rFonts w:ascii="宋体" w:hAnsi="宋体" w:eastAsia="宋体" w:cs="宋体"/>
          <w:sz w:val="24"/>
          <w:szCs w:val="24"/>
        </w:rPr>
        <w:t>员、公众和他人财产造成损害。落实绿化养护占道作业备案</w:t>
      </w:r>
      <w:r>
        <w:rPr>
          <w:rFonts w:ascii="宋体" w:hAnsi="宋体" w:eastAsia="宋体" w:cs="宋体"/>
          <w:spacing w:val="-1"/>
          <w:sz w:val="24"/>
          <w:szCs w:val="24"/>
        </w:rPr>
        <w:t>制度，承包方在每次占</w:t>
      </w:r>
      <w:r>
        <w:rPr>
          <w:rFonts w:ascii="宋体" w:hAnsi="宋体" w:eastAsia="宋体" w:cs="宋体"/>
          <w:sz w:val="24"/>
          <w:szCs w:val="24"/>
        </w:rPr>
        <w:t>道作业前必须前往相关部门进行备案，备案通过后才允许作</w:t>
      </w:r>
      <w:r>
        <w:rPr>
          <w:rFonts w:ascii="宋体" w:hAnsi="宋体" w:eastAsia="宋体" w:cs="宋体"/>
          <w:spacing w:val="-1"/>
          <w:sz w:val="24"/>
          <w:szCs w:val="24"/>
        </w:rPr>
        <w:t>业，作业期间严格按照</w:t>
      </w:r>
      <w:r>
        <w:rPr>
          <w:rFonts w:ascii="宋体" w:hAnsi="宋体" w:eastAsia="宋体" w:cs="宋体"/>
          <w:sz w:val="24"/>
          <w:szCs w:val="24"/>
        </w:rPr>
        <w:t>要求放置防护设施及设置安全工作区域。若因承包方操作、</w:t>
      </w:r>
      <w:r>
        <w:rPr>
          <w:rFonts w:ascii="宋体" w:hAnsi="宋体" w:eastAsia="宋体" w:cs="宋体"/>
          <w:spacing w:val="-1"/>
          <w:sz w:val="24"/>
          <w:szCs w:val="24"/>
        </w:rPr>
        <w:t>养护不当（如蛀干虫害</w:t>
      </w:r>
      <w:r>
        <w:rPr>
          <w:rFonts w:ascii="宋体" w:hAnsi="宋体" w:eastAsia="宋体" w:cs="宋体"/>
          <w:sz w:val="24"/>
          <w:szCs w:val="24"/>
        </w:rPr>
        <w:t>防治不及时、树枝未及时修剪、树木支撑不到位等，引起枝</w:t>
      </w:r>
      <w:r>
        <w:rPr>
          <w:rFonts w:ascii="宋体" w:hAnsi="宋体" w:eastAsia="宋体" w:cs="宋体"/>
          <w:spacing w:val="-1"/>
          <w:sz w:val="24"/>
          <w:szCs w:val="24"/>
        </w:rPr>
        <w:t>条砸落）或防护设施不到位等造成人身及其它财产损失的，由承包方承担</w:t>
      </w:r>
      <w:r>
        <w:rPr>
          <w:rFonts w:ascii="宋体" w:hAnsi="宋体" w:eastAsia="宋体" w:cs="宋体"/>
          <w:spacing w:val="-2"/>
          <w:sz w:val="24"/>
          <w:szCs w:val="24"/>
        </w:rPr>
        <w:t>一切责任。</w:t>
      </w:r>
    </w:p>
    <w:p w14:paraId="727A3150">
      <w:pPr>
        <w:keepNext w:val="0"/>
        <w:keepLines w:val="0"/>
        <w:pageBreakBefore w:val="0"/>
        <w:widowControl w:val="0"/>
        <w:kinsoku/>
        <w:wordWrap/>
        <w:overflowPunct/>
        <w:topLinePunct w:val="0"/>
        <w:autoSpaceDE/>
        <w:autoSpaceDN/>
        <w:bidi w:val="0"/>
        <w:adjustRightInd/>
        <w:snapToGrid/>
        <w:spacing w:line="360" w:lineRule="auto"/>
        <w:ind w:right="3" w:firstLine="456" w:firstLineChars="200"/>
        <w:textAlignment w:val="auto"/>
        <w:rPr>
          <w:rFonts w:ascii="宋体" w:hAnsi="宋体" w:eastAsia="宋体" w:cs="宋体"/>
          <w:sz w:val="24"/>
          <w:szCs w:val="24"/>
        </w:rPr>
      </w:pPr>
      <w:r>
        <w:rPr>
          <w:rFonts w:ascii="宋体" w:hAnsi="宋体" w:eastAsia="宋体" w:cs="宋体"/>
          <w:spacing w:val="-6"/>
          <w:sz w:val="24"/>
          <w:szCs w:val="24"/>
        </w:rPr>
        <w:t>5.因不可抗拒因素如树木突然倒塌、碰线、碰屋、非</w:t>
      </w:r>
      <w:r>
        <w:rPr>
          <w:rFonts w:ascii="宋体" w:hAnsi="宋体" w:eastAsia="宋体" w:cs="宋体"/>
          <w:spacing w:val="-7"/>
          <w:sz w:val="24"/>
          <w:szCs w:val="24"/>
        </w:rPr>
        <w:t>养护原因造成的树枝伤人、</w:t>
      </w:r>
      <w:r>
        <w:rPr>
          <w:rFonts w:ascii="宋体" w:hAnsi="宋体" w:eastAsia="宋体" w:cs="宋体"/>
          <w:sz w:val="24"/>
          <w:szCs w:val="24"/>
        </w:rPr>
        <w:t>伤物，承包方在接到应急抢险通知后，应迅速组织力量，1</w:t>
      </w:r>
      <w:r>
        <w:rPr>
          <w:rFonts w:ascii="宋体" w:hAnsi="宋体" w:eastAsia="宋体" w:cs="宋体"/>
          <w:spacing w:val="-1"/>
          <w:sz w:val="24"/>
          <w:szCs w:val="24"/>
        </w:rPr>
        <w:t>小时内到达现场及时处</w:t>
      </w:r>
      <w:r>
        <w:rPr>
          <w:rFonts w:ascii="宋体" w:hAnsi="宋体" w:eastAsia="宋体" w:cs="宋体"/>
          <w:spacing w:val="-12"/>
          <w:sz w:val="24"/>
          <w:szCs w:val="24"/>
        </w:rPr>
        <w:t>理。</w:t>
      </w:r>
    </w:p>
    <w:p w14:paraId="245D81FD">
      <w:pPr>
        <w:keepNext w:val="0"/>
        <w:keepLines w:val="0"/>
        <w:pageBreakBefore w:val="0"/>
        <w:widowControl w:val="0"/>
        <w:kinsoku/>
        <w:wordWrap/>
        <w:overflowPunct/>
        <w:topLinePunct w:val="0"/>
        <w:autoSpaceDE/>
        <w:autoSpaceDN/>
        <w:bidi w:val="0"/>
        <w:adjustRightInd/>
        <w:snapToGrid/>
        <w:spacing w:line="360" w:lineRule="auto"/>
        <w:ind w:right="31" w:firstLine="504" w:firstLineChars="200"/>
        <w:textAlignment w:val="auto"/>
        <w:rPr>
          <w:rFonts w:ascii="宋体" w:hAnsi="宋体" w:eastAsia="宋体" w:cs="宋体"/>
          <w:sz w:val="24"/>
          <w:szCs w:val="24"/>
        </w:rPr>
      </w:pPr>
      <w:r>
        <w:rPr>
          <w:rFonts w:ascii="宋体" w:hAnsi="宋体" w:eastAsia="宋体" w:cs="宋体"/>
          <w:spacing w:val="6"/>
          <w:sz w:val="24"/>
          <w:szCs w:val="24"/>
        </w:rPr>
        <w:t>6.绿地、林地养护承包方若不能及时或不能按标准完成承包范围内的养护工</w:t>
      </w:r>
      <w:r>
        <w:rPr>
          <w:rFonts w:ascii="宋体" w:hAnsi="宋体" w:eastAsia="宋体" w:cs="宋体"/>
          <w:sz w:val="24"/>
          <w:szCs w:val="24"/>
        </w:rPr>
        <w:t>作，园区建管办有权临时安排第三方进行养护，所发生</w:t>
      </w:r>
      <w:r>
        <w:rPr>
          <w:rFonts w:ascii="宋体" w:hAnsi="宋体" w:eastAsia="宋体" w:cs="宋体"/>
          <w:spacing w:val="-1"/>
          <w:sz w:val="24"/>
          <w:szCs w:val="24"/>
        </w:rPr>
        <w:t>的费用，从承包方的月度养</w:t>
      </w:r>
      <w:r>
        <w:rPr>
          <w:rFonts w:ascii="宋体" w:hAnsi="宋体" w:eastAsia="宋体" w:cs="宋体"/>
          <w:sz w:val="24"/>
          <w:szCs w:val="24"/>
        </w:rPr>
        <w:t>护费中扣除并对应考核细则相关条款加倍扣除对应得分</w:t>
      </w:r>
      <w:r>
        <w:rPr>
          <w:rFonts w:ascii="宋体" w:hAnsi="宋体" w:eastAsia="宋体" w:cs="宋体"/>
          <w:spacing w:val="-1"/>
          <w:sz w:val="24"/>
          <w:szCs w:val="24"/>
        </w:rPr>
        <w:t>。养护期间小灌木、地被如有死亡，承包方必须及时补种同规格的苗木</w:t>
      </w:r>
      <w:r>
        <w:rPr>
          <w:rFonts w:ascii="宋体" w:hAnsi="宋体" w:eastAsia="宋体" w:cs="宋体"/>
          <w:spacing w:val="-2"/>
          <w:sz w:val="24"/>
          <w:szCs w:val="24"/>
        </w:rPr>
        <w:t>，确保绿地、林地内无空缺。</w:t>
      </w:r>
    </w:p>
    <w:p w14:paraId="15BEFAA9">
      <w:pPr>
        <w:keepNext w:val="0"/>
        <w:keepLines w:val="0"/>
        <w:pageBreakBefore w:val="0"/>
        <w:widowControl w:val="0"/>
        <w:kinsoku/>
        <w:wordWrap/>
        <w:overflowPunct/>
        <w:topLinePunct w:val="0"/>
        <w:autoSpaceDE/>
        <w:autoSpaceDN/>
        <w:bidi w:val="0"/>
        <w:adjustRightInd/>
        <w:snapToGrid/>
        <w:spacing w:line="360" w:lineRule="auto"/>
        <w:ind w:right="31" w:firstLine="476" w:firstLineChars="200"/>
        <w:textAlignment w:val="auto"/>
        <w:rPr>
          <w:rFonts w:ascii="宋体" w:hAnsi="宋体" w:eastAsia="宋体" w:cs="宋体"/>
          <w:sz w:val="24"/>
          <w:szCs w:val="24"/>
        </w:rPr>
      </w:pPr>
      <w:r>
        <w:rPr>
          <w:rFonts w:ascii="宋体" w:hAnsi="宋体" w:eastAsia="宋体" w:cs="宋体"/>
          <w:spacing w:val="-1"/>
          <w:sz w:val="24"/>
          <w:szCs w:val="24"/>
        </w:rPr>
        <w:t>7.承包方养护期间，如未按协议进行养护或擅自进行项目分包、转包，园区管</w:t>
      </w:r>
      <w:r>
        <w:rPr>
          <w:rFonts w:ascii="宋体" w:hAnsi="宋体" w:eastAsia="宋体" w:cs="宋体"/>
          <w:sz w:val="24"/>
          <w:szCs w:val="24"/>
        </w:rPr>
        <w:t>委会有权单方面终止协议，所有损失由承包方承担；对通过</w:t>
      </w:r>
      <w:r>
        <w:rPr>
          <w:rFonts w:ascii="宋体" w:hAnsi="宋体" w:eastAsia="宋体" w:cs="宋体"/>
          <w:spacing w:val="-1"/>
          <w:sz w:val="24"/>
          <w:szCs w:val="24"/>
        </w:rPr>
        <w:t>政府采购中标的养护标</w:t>
      </w:r>
      <w:r>
        <w:rPr>
          <w:rFonts w:ascii="宋体" w:hAnsi="宋体" w:eastAsia="宋体" w:cs="宋体"/>
          <w:spacing w:val="-3"/>
          <w:sz w:val="24"/>
          <w:szCs w:val="24"/>
        </w:rPr>
        <w:t>段，中途协议终止后其履约保证金不予退还。</w:t>
      </w:r>
    </w:p>
    <w:p w14:paraId="507C14AE">
      <w:pPr>
        <w:keepNext w:val="0"/>
        <w:keepLines w:val="0"/>
        <w:pageBreakBefore w:val="0"/>
        <w:widowControl w:val="0"/>
        <w:kinsoku/>
        <w:wordWrap/>
        <w:overflowPunct/>
        <w:topLinePunct w:val="0"/>
        <w:autoSpaceDE/>
        <w:autoSpaceDN/>
        <w:bidi w:val="0"/>
        <w:adjustRightInd/>
        <w:snapToGrid/>
        <w:spacing w:line="360" w:lineRule="auto"/>
        <w:ind w:firstLine="454" w:firstLineChars="200"/>
        <w:textAlignment w:val="auto"/>
        <w:rPr>
          <w:rFonts w:ascii="宋体" w:hAnsi="宋体" w:eastAsia="宋体" w:cs="宋体"/>
          <w:sz w:val="24"/>
          <w:szCs w:val="24"/>
        </w:rPr>
      </w:pPr>
      <w:r>
        <w:rPr>
          <w:rFonts w:ascii="宋体" w:hAnsi="宋体" w:eastAsia="宋体" w:cs="宋体"/>
          <w:b/>
          <w:bCs/>
          <w:spacing w:val="-7"/>
          <w:sz w:val="24"/>
          <w:szCs w:val="24"/>
        </w:rPr>
        <w:t>八、其他</w:t>
      </w:r>
    </w:p>
    <w:p w14:paraId="3AC40400">
      <w:pPr>
        <w:keepNext w:val="0"/>
        <w:keepLines w:val="0"/>
        <w:pageBreakBefore w:val="0"/>
        <w:widowControl w:val="0"/>
        <w:kinsoku/>
        <w:wordWrap/>
        <w:overflowPunct/>
        <w:topLinePunct w:val="0"/>
        <w:autoSpaceDE/>
        <w:autoSpaceDN/>
        <w:bidi w:val="0"/>
        <w:adjustRightInd/>
        <w:snapToGrid/>
        <w:spacing w:line="360" w:lineRule="auto"/>
        <w:ind w:firstLine="464" w:firstLineChars="200"/>
        <w:textAlignment w:val="auto"/>
        <w:rPr>
          <w:rFonts w:ascii="宋体" w:hAnsi="宋体" w:eastAsia="宋体" w:cs="宋体"/>
          <w:sz w:val="24"/>
          <w:szCs w:val="24"/>
        </w:rPr>
      </w:pPr>
      <w:r>
        <w:rPr>
          <w:rFonts w:ascii="宋体" w:hAnsi="宋体" w:eastAsia="宋体" w:cs="宋体"/>
          <w:spacing w:val="-4"/>
          <w:sz w:val="24"/>
          <w:szCs w:val="24"/>
        </w:rPr>
        <w:t>1</w:t>
      </w:r>
      <w:r>
        <w:rPr>
          <w:rFonts w:hint="eastAsia" w:ascii="宋体" w:hAnsi="宋体" w:eastAsia="宋体" w:cs="宋体"/>
          <w:spacing w:val="-4"/>
          <w:sz w:val="24"/>
          <w:szCs w:val="24"/>
          <w:lang w:eastAsia="zh-CN"/>
        </w:rPr>
        <w:t>.</w:t>
      </w:r>
      <w:r>
        <w:rPr>
          <w:rFonts w:ascii="宋体" w:hAnsi="宋体" w:eastAsia="宋体" w:cs="宋体"/>
          <w:spacing w:val="-4"/>
          <w:sz w:val="24"/>
          <w:szCs w:val="24"/>
        </w:rPr>
        <w:t>考核结果实行定期公示制度。</w:t>
      </w:r>
    </w:p>
    <w:p w14:paraId="4E62361B">
      <w:pPr>
        <w:keepNext w:val="0"/>
        <w:keepLines w:val="0"/>
        <w:pageBreakBefore w:val="0"/>
        <w:widowControl w:val="0"/>
        <w:kinsoku/>
        <w:wordWrap/>
        <w:overflowPunct/>
        <w:topLinePunct w:val="0"/>
        <w:autoSpaceDE/>
        <w:autoSpaceDN/>
        <w:bidi w:val="0"/>
        <w:adjustRightInd/>
        <w:snapToGrid/>
        <w:spacing w:line="360" w:lineRule="auto"/>
        <w:ind w:firstLine="464" w:firstLineChars="200"/>
        <w:textAlignment w:val="auto"/>
        <w:rPr>
          <w:rFonts w:ascii="宋体" w:hAnsi="宋体" w:eastAsia="宋体" w:cs="宋体"/>
          <w:spacing w:val="-4"/>
          <w:sz w:val="24"/>
          <w:szCs w:val="24"/>
        </w:rPr>
      </w:pPr>
      <w:r>
        <w:rPr>
          <w:rFonts w:ascii="宋体" w:hAnsi="宋体" w:eastAsia="宋体" w:cs="宋体"/>
          <w:spacing w:val="-4"/>
          <w:sz w:val="24"/>
          <w:szCs w:val="24"/>
        </w:rPr>
        <w:t>2</w:t>
      </w:r>
      <w:r>
        <w:rPr>
          <w:rFonts w:hint="eastAsia" w:ascii="宋体" w:hAnsi="宋体" w:cs="宋体"/>
          <w:spacing w:val="-4"/>
          <w:sz w:val="24"/>
          <w:szCs w:val="24"/>
          <w:lang w:eastAsia="zh-CN"/>
        </w:rPr>
        <w:t>.</w:t>
      </w:r>
      <w:r>
        <w:rPr>
          <w:rFonts w:ascii="宋体" w:hAnsi="宋体" w:eastAsia="宋体" w:cs="宋体"/>
          <w:spacing w:val="-4"/>
          <w:sz w:val="24"/>
          <w:szCs w:val="24"/>
        </w:rPr>
        <w:t>年底对本年度养护单位业绩进行统一评定，对全年单条道路绿化连续二个月考核得分低于85分或某个月考核得分低于80分的养护单位，收回其绿化养护权、终止合同。</w:t>
      </w:r>
    </w:p>
    <w:p w14:paraId="2B74A7AC">
      <w:pPr>
        <w:keepNext w:val="0"/>
        <w:keepLines w:val="0"/>
        <w:pageBreakBefore w:val="0"/>
        <w:widowControl w:val="0"/>
        <w:kinsoku/>
        <w:wordWrap/>
        <w:overflowPunct/>
        <w:topLinePunct w:val="0"/>
        <w:autoSpaceDE/>
        <w:autoSpaceDN/>
        <w:bidi w:val="0"/>
        <w:adjustRightInd/>
        <w:snapToGrid/>
        <w:spacing w:line="360" w:lineRule="auto"/>
        <w:ind w:firstLine="464" w:firstLineChars="200"/>
        <w:textAlignment w:val="auto"/>
        <w:rPr>
          <w:rFonts w:ascii="宋体" w:hAnsi="宋体" w:eastAsia="宋体" w:cs="宋体"/>
          <w:spacing w:val="-4"/>
          <w:sz w:val="24"/>
          <w:szCs w:val="24"/>
        </w:rPr>
      </w:pPr>
      <w:r>
        <w:rPr>
          <w:rFonts w:ascii="宋体" w:hAnsi="宋体" w:eastAsia="宋体" w:cs="宋体"/>
          <w:spacing w:val="-4"/>
          <w:sz w:val="24"/>
          <w:szCs w:val="24"/>
        </w:rPr>
        <w:t>3</w:t>
      </w:r>
      <w:r>
        <w:rPr>
          <w:rFonts w:hint="eastAsia" w:ascii="宋体" w:hAnsi="宋体" w:cs="宋体"/>
          <w:spacing w:val="-4"/>
          <w:sz w:val="24"/>
          <w:szCs w:val="24"/>
          <w:lang w:eastAsia="zh-CN"/>
        </w:rPr>
        <w:t>.</w:t>
      </w:r>
      <w:r>
        <w:rPr>
          <w:rFonts w:ascii="宋体" w:hAnsi="宋体" w:eastAsia="宋体" w:cs="宋体"/>
          <w:spacing w:val="-4"/>
          <w:sz w:val="24"/>
          <w:szCs w:val="24"/>
        </w:rPr>
        <w:t>合同期内，政府采购绿化养护单位在正常养护作业期间，因现场管理不到位发生1起人员伤亡事故负有责任的，周期合同内养护业绩不得评定为优秀，因现场管理不到位发生2起人员伤亡事故负有责任的，周期合同内养护业绩评定为不合格。</w:t>
      </w:r>
    </w:p>
    <w:p w14:paraId="659099F7">
      <w:pPr>
        <w:rPr>
          <w:rFonts w:ascii="宋体" w:hAnsi="宋体" w:eastAsia="宋体" w:cs="宋体"/>
          <w:spacing w:val="-4"/>
          <w:sz w:val="24"/>
          <w:szCs w:val="24"/>
        </w:rPr>
      </w:pPr>
      <w:r>
        <w:rPr>
          <w:rFonts w:ascii="宋体" w:hAnsi="宋体" w:eastAsia="宋体" w:cs="宋体"/>
          <w:spacing w:val="-4"/>
          <w:sz w:val="24"/>
          <w:szCs w:val="24"/>
        </w:rPr>
        <w:br w:type="page"/>
      </w:r>
    </w:p>
    <w:p w14:paraId="670BDB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spacing w:val="-4"/>
          <w:sz w:val="24"/>
          <w:szCs w:val="24"/>
          <w:lang w:val="en-US" w:eastAsia="zh-CN"/>
        </w:rPr>
      </w:pPr>
      <w:r>
        <w:rPr>
          <w:rFonts w:hint="eastAsia" w:ascii="宋体" w:hAnsi="宋体" w:cs="宋体"/>
          <w:b/>
          <w:bCs/>
          <w:spacing w:val="-4"/>
          <w:sz w:val="24"/>
          <w:szCs w:val="24"/>
          <w:lang w:val="en-US" w:eastAsia="zh-CN"/>
        </w:rPr>
        <w:t>附件1</w:t>
      </w:r>
    </w:p>
    <w:p w14:paraId="41B1B2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b/>
          <w:bCs/>
          <w:spacing w:val="-3"/>
          <w:sz w:val="28"/>
          <w:szCs w:val="28"/>
        </w:rPr>
      </w:pPr>
      <w:r>
        <w:rPr>
          <w:rFonts w:ascii="宋体" w:hAnsi="宋体" w:eastAsia="宋体" w:cs="宋体"/>
          <w:b/>
          <w:bCs/>
          <w:spacing w:val="-3"/>
          <w:sz w:val="28"/>
          <w:szCs w:val="28"/>
        </w:rPr>
        <w:t>常阴沙现代农业示范园区镇级绿化养护管理考核百分细则</w:t>
      </w:r>
    </w:p>
    <w:tbl>
      <w:tblPr>
        <w:tblStyle w:val="640"/>
        <w:tblW w:w="105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3"/>
        <w:gridCol w:w="1141"/>
        <w:gridCol w:w="633"/>
        <w:gridCol w:w="1203"/>
        <w:gridCol w:w="951"/>
        <w:gridCol w:w="3282"/>
        <w:gridCol w:w="2805"/>
      </w:tblGrid>
      <w:tr w14:paraId="2542B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8" w:hRule="atLeast"/>
          <w:jc w:val="center"/>
        </w:trPr>
        <w:tc>
          <w:tcPr>
            <w:tcW w:w="10588" w:type="dxa"/>
            <w:gridSpan w:val="7"/>
            <w:vAlign w:val="top"/>
          </w:tcPr>
          <w:p w14:paraId="4E0EE634">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b/>
                <w:bCs/>
                <w:spacing w:val="-4"/>
                <w:sz w:val="21"/>
                <w:szCs w:val="21"/>
              </w:rPr>
              <w:t>月度直接扣分类</w:t>
            </w:r>
          </w:p>
        </w:tc>
      </w:tr>
      <w:tr w14:paraId="08343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3" w:hRule="atLeast"/>
          <w:jc w:val="center"/>
        </w:trPr>
        <w:tc>
          <w:tcPr>
            <w:tcW w:w="573" w:type="dxa"/>
            <w:vAlign w:val="center"/>
          </w:tcPr>
          <w:p w14:paraId="350B15F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类别</w:t>
            </w:r>
          </w:p>
        </w:tc>
        <w:tc>
          <w:tcPr>
            <w:tcW w:w="1141" w:type="dxa"/>
            <w:vAlign w:val="center"/>
          </w:tcPr>
          <w:p w14:paraId="0959F93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项目名称</w:t>
            </w:r>
          </w:p>
        </w:tc>
        <w:tc>
          <w:tcPr>
            <w:tcW w:w="633" w:type="dxa"/>
            <w:vAlign w:val="center"/>
          </w:tcPr>
          <w:p w14:paraId="6538CA4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1203" w:type="dxa"/>
            <w:vAlign w:val="center"/>
          </w:tcPr>
          <w:p w14:paraId="43B76EE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考核内容</w:t>
            </w:r>
          </w:p>
        </w:tc>
        <w:tc>
          <w:tcPr>
            <w:tcW w:w="951" w:type="dxa"/>
            <w:vAlign w:val="center"/>
          </w:tcPr>
          <w:p w14:paraId="57DBF00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标准分值</w:t>
            </w:r>
          </w:p>
        </w:tc>
        <w:tc>
          <w:tcPr>
            <w:tcW w:w="3282" w:type="dxa"/>
            <w:vAlign w:val="center"/>
          </w:tcPr>
          <w:p w14:paraId="729DB98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具体管护要求</w:t>
            </w:r>
          </w:p>
        </w:tc>
        <w:tc>
          <w:tcPr>
            <w:tcW w:w="2805" w:type="dxa"/>
            <w:vAlign w:val="center"/>
          </w:tcPr>
          <w:p w14:paraId="4A7A1444">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扣分细则</w:t>
            </w:r>
          </w:p>
        </w:tc>
      </w:tr>
      <w:tr w14:paraId="5875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restart"/>
            <w:vAlign w:val="center"/>
          </w:tcPr>
          <w:p w14:paraId="1309D92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绿地环境维护</w:t>
            </w:r>
          </w:p>
        </w:tc>
        <w:tc>
          <w:tcPr>
            <w:tcW w:w="1141" w:type="dxa"/>
            <w:vMerge w:val="restart"/>
            <w:vAlign w:val="center"/>
          </w:tcPr>
          <w:p w14:paraId="3D360DB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垃圾清理</w:t>
            </w:r>
          </w:p>
        </w:tc>
        <w:tc>
          <w:tcPr>
            <w:tcW w:w="633" w:type="dxa"/>
            <w:vAlign w:val="center"/>
          </w:tcPr>
          <w:p w14:paraId="50CB60B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203" w:type="dxa"/>
            <w:vAlign w:val="center"/>
          </w:tcPr>
          <w:p w14:paraId="460AC7CF">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绿地卫生保洁（生活垃圾及建筑垃圾）</w:t>
            </w:r>
          </w:p>
        </w:tc>
        <w:tc>
          <w:tcPr>
            <w:tcW w:w="951" w:type="dxa"/>
            <w:vAlign w:val="center"/>
          </w:tcPr>
          <w:p w14:paraId="6BDD6F8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282" w:type="dxa"/>
            <w:vMerge w:val="restart"/>
            <w:vAlign w:val="center"/>
          </w:tcPr>
          <w:p w14:paraId="4A6871E4">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及时清理绿地内各种杂物（建筑垃圾、蔬菜棚架、修剪垃圾、陈旧落叶、树体藤蔓、绿地杂草等） ，无养护死角；树木、草坪修剪后草坪屑、树枝等及时清运不过夜，不乱丢乱抛；春夏秋季节绿地内河塘水草需清理打捞，水上草（如绿萍等）无大面积蔓延、水下草定期清理，保持水面清洁；秋冬季节水生植物如菖蒲、再力花、梭鱼草等统一清理收割清运，消除火灾隐患；河塘四周无围网围栏，无私搭棚架。</w:t>
            </w:r>
          </w:p>
        </w:tc>
        <w:tc>
          <w:tcPr>
            <w:tcW w:w="2805" w:type="dxa"/>
            <w:vMerge w:val="restart"/>
            <w:vAlign w:val="center"/>
          </w:tcPr>
          <w:p w14:paraId="7C026B11">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发现有围栏等棚架、杂物、垃圾，扣 0.5分/处；树枝、藤蔓、杂草等绿化垃圾长期未清理扣 0.5分/处；乱堆放扣 0.5 分/处，陈旧落叶、草坪屑等清理不干净扣0.5分/处，水面绿萍蔓延打捞达不到要求，扣 1分/次，秋冬水生植物收割乱堆放扣0.5分/处。</w:t>
            </w:r>
          </w:p>
        </w:tc>
      </w:tr>
      <w:tr w14:paraId="675E4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69AB6628">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7899BAC4">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69C41D1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203" w:type="dxa"/>
            <w:vAlign w:val="center"/>
          </w:tcPr>
          <w:p w14:paraId="3B8D8D0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绿化垃圾清理</w:t>
            </w:r>
          </w:p>
        </w:tc>
        <w:tc>
          <w:tcPr>
            <w:tcW w:w="951" w:type="dxa"/>
            <w:vAlign w:val="center"/>
          </w:tcPr>
          <w:p w14:paraId="32D3F3E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282" w:type="dxa"/>
            <w:vMerge w:val="continue"/>
            <w:vAlign w:val="center"/>
          </w:tcPr>
          <w:p w14:paraId="3D19E06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c>
          <w:tcPr>
            <w:tcW w:w="2805" w:type="dxa"/>
            <w:vMerge w:val="continue"/>
            <w:vAlign w:val="center"/>
          </w:tcPr>
          <w:p w14:paraId="15B6B31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r>
      <w:tr w14:paraId="1FDF3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37695E1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restart"/>
            <w:vAlign w:val="center"/>
          </w:tcPr>
          <w:p w14:paraId="54B04D7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水面清理</w:t>
            </w:r>
          </w:p>
        </w:tc>
        <w:tc>
          <w:tcPr>
            <w:tcW w:w="633" w:type="dxa"/>
            <w:vAlign w:val="center"/>
          </w:tcPr>
          <w:p w14:paraId="7DAA155D">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203" w:type="dxa"/>
            <w:vAlign w:val="center"/>
          </w:tcPr>
          <w:p w14:paraId="3C5D506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景观河道水草清理</w:t>
            </w:r>
          </w:p>
        </w:tc>
        <w:tc>
          <w:tcPr>
            <w:tcW w:w="951" w:type="dxa"/>
            <w:vAlign w:val="center"/>
          </w:tcPr>
          <w:p w14:paraId="2D236E2A">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282" w:type="dxa"/>
            <w:vMerge w:val="continue"/>
            <w:vAlign w:val="center"/>
          </w:tcPr>
          <w:p w14:paraId="37F8696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c>
          <w:tcPr>
            <w:tcW w:w="2805" w:type="dxa"/>
            <w:vMerge w:val="continue"/>
            <w:vAlign w:val="center"/>
          </w:tcPr>
          <w:p w14:paraId="0008526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r>
      <w:tr w14:paraId="456A3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1BD88177">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4BA43CEF">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79E2D5C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1203" w:type="dxa"/>
            <w:vAlign w:val="center"/>
          </w:tcPr>
          <w:p w14:paraId="2967226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水生植物秋冬清理</w:t>
            </w:r>
          </w:p>
        </w:tc>
        <w:tc>
          <w:tcPr>
            <w:tcW w:w="951" w:type="dxa"/>
            <w:vAlign w:val="center"/>
          </w:tcPr>
          <w:p w14:paraId="2279CEB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282" w:type="dxa"/>
            <w:vMerge w:val="continue"/>
            <w:vAlign w:val="center"/>
          </w:tcPr>
          <w:p w14:paraId="701DD767">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c>
          <w:tcPr>
            <w:tcW w:w="2805" w:type="dxa"/>
            <w:vMerge w:val="continue"/>
            <w:vAlign w:val="center"/>
          </w:tcPr>
          <w:p w14:paraId="3D3129F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r>
      <w:tr w14:paraId="0BA20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5636827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restart"/>
            <w:vAlign w:val="center"/>
          </w:tcPr>
          <w:p w14:paraId="1353C0E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除草、除杂</w:t>
            </w:r>
          </w:p>
        </w:tc>
        <w:tc>
          <w:tcPr>
            <w:tcW w:w="633" w:type="dxa"/>
            <w:vAlign w:val="center"/>
          </w:tcPr>
          <w:p w14:paraId="688648C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1203" w:type="dxa"/>
            <w:vAlign w:val="center"/>
          </w:tcPr>
          <w:p w14:paraId="16424F3A">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树体藤蔓及绿地杂草清理</w:t>
            </w:r>
          </w:p>
        </w:tc>
        <w:tc>
          <w:tcPr>
            <w:tcW w:w="951" w:type="dxa"/>
            <w:vAlign w:val="center"/>
          </w:tcPr>
          <w:p w14:paraId="04B324A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3282" w:type="dxa"/>
            <w:vMerge w:val="continue"/>
            <w:vAlign w:val="center"/>
          </w:tcPr>
          <w:p w14:paraId="570C6F1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c>
          <w:tcPr>
            <w:tcW w:w="2805" w:type="dxa"/>
            <w:vMerge w:val="continue"/>
            <w:vAlign w:val="center"/>
          </w:tcPr>
          <w:p w14:paraId="55D8EB1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r>
      <w:tr w14:paraId="4CE16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18B965F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p>
        </w:tc>
        <w:tc>
          <w:tcPr>
            <w:tcW w:w="1141" w:type="dxa"/>
            <w:vMerge w:val="continue"/>
            <w:vAlign w:val="center"/>
          </w:tcPr>
          <w:p w14:paraId="5451204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p>
        </w:tc>
        <w:tc>
          <w:tcPr>
            <w:tcW w:w="633" w:type="dxa"/>
            <w:vAlign w:val="center"/>
          </w:tcPr>
          <w:p w14:paraId="0438630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1203" w:type="dxa"/>
            <w:vAlign w:val="center"/>
          </w:tcPr>
          <w:p w14:paraId="5ABC224A">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围栏及棚架清理</w:t>
            </w:r>
          </w:p>
        </w:tc>
        <w:tc>
          <w:tcPr>
            <w:tcW w:w="951" w:type="dxa"/>
            <w:vAlign w:val="center"/>
          </w:tcPr>
          <w:p w14:paraId="09070E3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282" w:type="dxa"/>
            <w:vMerge w:val="continue"/>
            <w:vAlign w:val="center"/>
          </w:tcPr>
          <w:p w14:paraId="6ABAE5C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c>
          <w:tcPr>
            <w:tcW w:w="2805" w:type="dxa"/>
            <w:vMerge w:val="continue"/>
            <w:vAlign w:val="center"/>
          </w:tcPr>
          <w:p w14:paraId="77A118C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r>
      <w:tr w14:paraId="0B01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8" w:hRule="atLeast"/>
          <w:jc w:val="center"/>
        </w:trPr>
        <w:tc>
          <w:tcPr>
            <w:tcW w:w="3550" w:type="dxa"/>
            <w:gridSpan w:val="4"/>
            <w:vAlign w:val="center"/>
          </w:tcPr>
          <w:p w14:paraId="6DD026AF">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b/>
                <w:bCs/>
                <w:spacing w:val="-4"/>
                <w:sz w:val="21"/>
                <w:szCs w:val="21"/>
              </w:rPr>
              <w:t>小计</w:t>
            </w:r>
          </w:p>
        </w:tc>
        <w:tc>
          <w:tcPr>
            <w:tcW w:w="951" w:type="dxa"/>
            <w:vAlign w:val="center"/>
          </w:tcPr>
          <w:p w14:paraId="266B4E78">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b/>
                <w:bCs/>
                <w:spacing w:val="-9"/>
                <w:sz w:val="21"/>
                <w:szCs w:val="21"/>
              </w:rPr>
              <w:t>10</w:t>
            </w:r>
          </w:p>
        </w:tc>
        <w:tc>
          <w:tcPr>
            <w:tcW w:w="3282" w:type="dxa"/>
            <w:vAlign w:val="center"/>
          </w:tcPr>
          <w:p w14:paraId="7165DA9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c>
          <w:tcPr>
            <w:tcW w:w="2805" w:type="dxa"/>
            <w:vAlign w:val="center"/>
          </w:tcPr>
          <w:p w14:paraId="13A7864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pacing w:val="0"/>
                <w:sz w:val="21"/>
                <w:szCs w:val="21"/>
              </w:rPr>
            </w:pPr>
          </w:p>
        </w:tc>
      </w:tr>
      <w:tr w14:paraId="4233F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1" w:hRule="atLeast"/>
          <w:jc w:val="center"/>
        </w:trPr>
        <w:tc>
          <w:tcPr>
            <w:tcW w:w="573" w:type="dxa"/>
            <w:vMerge w:val="restart"/>
            <w:vAlign w:val="center"/>
          </w:tcPr>
          <w:p w14:paraId="6495817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植物养护</w:t>
            </w:r>
          </w:p>
        </w:tc>
        <w:tc>
          <w:tcPr>
            <w:tcW w:w="1141" w:type="dxa"/>
            <w:vMerge w:val="restart"/>
            <w:vAlign w:val="center"/>
          </w:tcPr>
          <w:p w14:paraId="6BB3610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施肥与病虫防治</w:t>
            </w:r>
          </w:p>
        </w:tc>
        <w:tc>
          <w:tcPr>
            <w:tcW w:w="633" w:type="dxa"/>
            <w:vAlign w:val="center"/>
          </w:tcPr>
          <w:p w14:paraId="3879155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1203" w:type="dxa"/>
            <w:vAlign w:val="center"/>
          </w:tcPr>
          <w:p w14:paraId="3389E5C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农药使用</w:t>
            </w:r>
          </w:p>
        </w:tc>
        <w:tc>
          <w:tcPr>
            <w:tcW w:w="951" w:type="dxa"/>
            <w:vAlign w:val="center"/>
          </w:tcPr>
          <w:p w14:paraId="7130CFB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3282" w:type="dxa"/>
            <w:vAlign w:val="center"/>
          </w:tcPr>
          <w:p w14:paraId="04AA3138">
            <w:pPr>
              <w:pStyle w:val="316"/>
              <w:keepNext w:val="0"/>
              <w:keepLines w:val="0"/>
              <w:pageBreakBefore w:val="0"/>
              <w:tabs>
                <w:tab w:val="left" w:pos="2520"/>
              </w:tabs>
              <w:kinsoku/>
              <w:wordWrap/>
              <w:overflowPunct/>
              <w:topLinePunct w:val="0"/>
              <w:autoSpaceDE/>
              <w:autoSpaceDN/>
              <w:bidi w:val="0"/>
              <w:adjustRightInd/>
              <w:snapToGrid/>
              <w:spacing w:before="0" w:after="0" w:line="240" w:lineRule="auto"/>
              <w:ind w:right="84" w:rightChars="0"/>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按规定使用农药，科学防治，做到合理配比、选准药品、用量正确，无药害产生；发现未知病虫害应主动及时汇报，积极防治；春秋两季，重点防治刺吸性害虫，植物生长期注意防治食叶类害虫及钻蛀性害虫，草坪及多年生地被类应重点防治地下害虫；无大面积危害症状影响绿化景观。</w:t>
            </w:r>
          </w:p>
        </w:tc>
        <w:tc>
          <w:tcPr>
            <w:tcW w:w="2805" w:type="dxa"/>
            <w:vAlign w:val="center"/>
          </w:tcPr>
          <w:p w14:paraId="793F52C1">
            <w:pPr>
              <w:pStyle w:val="316"/>
              <w:spacing w:before="57" w:line="228" w:lineRule="auto"/>
              <w:ind w:left="142"/>
              <w:jc w:val="both"/>
              <w:rPr>
                <w:rFonts w:hint="eastAsia" w:ascii="宋体" w:hAnsi="宋体" w:eastAsia="宋体" w:cs="宋体"/>
                <w:spacing w:val="0"/>
                <w:sz w:val="21"/>
                <w:szCs w:val="21"/>
              </w:rPr>
            </w:pPr>
            <w:r>
              <w:rPr>
                <w:rFonts w:hint="eastAsia" w:ascii="宋体" w:hAnsi="宋体" w:eastAsia="宋体" w:cs="宋体"/>
                <w:spacing w:val="0"/>
                <w:sz w:val="21"/>
                <w:szCs w:val="21"/>
              </w:rPr>
              <w:t>出现蚧壳虫、蛾类、天牛等重点害虫危害症状，扣 0.5分/处，造成严重危害的，扣 3分/次，造成一定范围植株死亡的，扣 3 分/次；区域内有检疫性害虫未及时或发现不报告的扣3分/次；防治不及时诱发社会矛盾及居民投诉的，扣1分/次；使用违禁农药的加扣2分/次。</w:t>
            </w:r>
          </w:p>
        </w:tc>
      </w:tr>
      <w:tr w14:paraId="76EE4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276EC86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11E4A55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2DBCE3DA">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1203" w:type="dxa"/>
            <w:vAlign w:val="center"/>
          </w:tcPr>
          <w:p w14:paraId="2A1C108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肥料施放</w:t>
            </w:r>
          </w:p>
        </w:tc>
        <w:tc>
          <w:tcPr>
            <w:tcW w:w="951" w:type="dxa"/>
            <w:vAlign w:val="center"/>
          </w:tcPr>
          <w:p w14:paraId="0B0CBBBA">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3282" w:type="dxa"/>
            <w:vAlign w:val="center"/>
          </w:tcPr>
          <w:p w14:paraId="283D6F87">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开花乔灌木、行道树按要求施肥及时，每年休眠期（11 月--2 月）施基肥，花灌木花后统一追肥花肥；模纹、隔离带小灌木等生长季节适时追肥。施肥方法适</w:t>
            </w:r>
          </w:p>
          <w:p w14:paraId="1BA01E36">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当，用量合理，不产生肥害。乔木类采用沟施或穴施，深度大于</w:t>
            </w:r>
          </w:p>
          <w:p w14:paraId="0739C787">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30cm，并及时覆盖。灌木、地被、草坪等撒施肥料后应及时充分浇水，肥料不得粘在花、叶上，以免灼伤产生肥害。</w:t>
            </w:r>
          </w:p>
        </w:tc>
        <w:tc>
          <w:tcPr>
            <w:tcW w:w="2805" w:type="dxa"/>
            <w:vAlign w:val="center"/>
          </w:tcPr>
          <w:p w14:paraId="7A64D81B">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lang w:eastAsia="zh-CN"/>
              </w:rPr>
            </w:pPr>
            <w:r>
              <w:rPr>
                <w:rFonts w:hint="eastAsia" w:ascii="宋体" w:hAnsi="宋体" w:eastAsia="宋体" w:cs="宋体"/>
                <w:spacing w:val="0"/>
                <w:sz w:val="21"/>
                <w:szCs w:val="21"/>
              </w:rPr>
              <w:t>因施肥发生严重肥害，并导致植物死亡，扣 2 分/处；未按要求开展施肥工作， 扣 2分/次；施肥用量不合理，导致植物长势不好，扣 1 分/处；施肥不规范，操作不合理，如施肥后未覆盖等，扣 1分/处；肥料质量不佳，导致植物长势弱、差，扣 1分/处</w:t>
            </w:r>
            <w:r>
              <w:rPr>
                <w:rFonts w:hint="eastAsia" w:ascii="宋体" w:hAnsi="宋体" w:cs="宋体"/>
                <w:spacing w:val="0"/>
                <w:sz w:val="21"/>
                <w:szCs w:val="21"/>
                <w:lang w:eastAsia="zh-CN"/>
              </w:rPr>
              <w:t>。</w:t>
            </w:r>
          </w:p>
        </w:tc>
      </w:tr>
      <w:tr w14:paraId="20C04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4FAFEFC4">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258512CF">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4E609AFD">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1203" w:type="dxa"/>
            <w:vAlign w:val="center"/>
          </w:tcPr>
          <w:p w14:paraId="7FE554EA">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冬季涂白</w:t>
            </w:r>
          </w:p>
        </w:tc>
        <w:tc>
          <w:tcPr>
            <w:tcW w:w="951" w:type="dxa"/>
            <w:vAlign w:val="center"/>
          </w:tcPr>
          <w:p w14:paraId="37C9E28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282" w:type="dxa"/>
            <w:vAlign w:val="center"/>
          </w:tcPr>
          <w:p w14:paraId="1F160BF6">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结合冬季树木涂白，及时清理消灭越冬虫蛹、虫茧及有关病原体；树木涂白同区域高度一致，涂白剂配比合理，附着力强。</w:t>
            </w:r>
          </w:p>
        </w:tc>
        <w:tc>
          <w:tcPr>
            <w:tcW w:w="2805" w:type="dxa"/>
            <w:vAlign w:val="center"/>
          </w:tcPr>
          <w:p w14:paraId="136716F4">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未按要求开展进行涂白扣 2分/次，涂白不规范，操作不合理，如高度不一致、漏涂等，扣 0.5 分/处；涂白制剂质量不佳、偷工减料</w:t>
            </w:r>
            <w:r>
              <w:rPr>
                <w:rFonts w:hint="eastAsia" w:ascii="宋体" w:hAnsi="宋体" w:cs="宋体"/>
                <w:spacing w:val="0"/>
                <w:sz w:val="21"/>
                <w:szCs w:val="21"/>
                <w:lang w:eastAsia="zh-CN"/>
              </w:rPr>
              <w:t>、</w:t>
            </w:r>
            <w:r>
              <w:rPr>
                <w:rFonts w:hint="eastAsia" w:ascii="宋体" w:hAnsi="宋体" w:eastAsia="宋体" w:cs="宋体"/>
                <w:spacing w:val="0"/>
                <w:sz w:val="21"/>
                <w:szCs w:val="21"/>
              </w:rPr>
              <w:t>附着力差的扣2分。</w:t>
            </w:r>
          </w:p>
        </w:tc>
      </w:tr>
      <w:tr w14:paraId="49CC3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3B34520F">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6E60003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21F3476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1203" w:type="dxa"/>
            <w:vAlign w:val="center"/>
          </w:tcPr>
          <w:p w14:paraId="5642008A">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病虫防治台账</w:t>
            </w:r>
          </w:p>
        </w:tc>
        <w:tc>
          <w:tcPr>
            <w:tcW w:w="951" w:type="dxa"/>
            <w:vAlign w:val="center"/>
          </w:tcPr>
          <w:p w14:paraId="198894A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282" w:type="dxa"/>
            <w:vAlign w:val="center"/>
          </w:tcPr>
          <w:p w14:paraId="79517923">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根据地段实际情况，建立病虫害防治台账，及时进行预测防治，并将防治用药情况通过月度养护计划及总结报送甲方。</w:t>
            </w:r>
          </w:p>
        </w:tc>
        <w:tc>
          <w:tcPr>
            <w:tcW w:w="2805" w:type="dxa"/>
            <w:vAlign w:val="center"/>
          </w:tcPr>
          <w:p w14:paraId="55C39A0B">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未建立病虫害防治计划及台账，扣 0.5 分/次，漏报扣 0.5分/次。</w:t>
            </w:r>
          </w:p>
        </w:tc>
      </w:tr>
      <w:tr w14:paraId="13CA3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restart"/>
            <w:vAlign w:val="center"/>
          </w:tcPr>
          <w:p w14:paraId="40BC0607">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植物养护</w:t>
            </w:r>
          </w:p>
        </w:tc>
        <w:tc>
          <w:tcPr>
            <w:tcW w:w="1141" w:type="dxa"/>
            <w:vMerge w:val="restart"/>
            <w:vAlign w:val="center"/>
          </w:tcPr>
          <w:p w14:paraId="6E54C47D">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绿化长势</w:t>
            </w:r>
          </w:p>
        </w:tc>
        <w:tc>
          <w:tcPr>
            <w:tcW w:w="633" w:type="dxa"/>
            <w:vAlign w:val="center"/>
          </w:tcPr>
          <w:p w14:paraId="62A0C8C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11</w:t>
            </w:r>
          </w:p>
        </w:tc>
        <w:tc>
          <w:tcPr>
            <w:tcW w:w="1203" w:type="dxa"/>
            <w:vAlign w:val="center"/>
          </w:tcPr>
          <w:p w14:paraId="7DF9E868">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死树、枯枝、断枝、半截子树清理</w:t>
            </w:r>
          </w:p>
        </w:tc>
        <w:tc>
          <w:tcPr>
            <w:tcW w:w="951" w:type="dxa"/>
            <w:vAlign w:val="center"/>
          </w:tcPr>
          <w:p w14:paraId="36B4F23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3282" w:type="dxa"/>
            <w:vAlign w:val="center"/>
          </w:tcPr>
          <w:p w14:paraId="02A93FD3">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绿地、林地及道路行道树无死株、半截子树、断枝及明显枯枝，行道树树干、树枝上无嵌入物、悬挂物、张贴物。</w:t>
            </w:r>
          </w:p>
        </w:tc>
        <w:tc>
          <w:tcPr>
            <w:tcW w:w="2805" w:type="dxa"/>
            <w:vAlign w:val="center"/>
          </w:tcPr>
          <w:p w14:paraId="7C3215C5">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绿地、林地发现有死树枯枝、半截子树未清理的扣0.5分/株，树体有悬挂物、张贴物等扣0.5分/处。</w:t>
            </w:r>
          </w:p>
        </w:tc>
      </w:tr>
      <w:tr w14:paraId="74DA2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1B8356C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142C8F1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35F875E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12</w:t>
            </w:r>
          </w:p>
        </w:tc>
        <w:tc>
          <w:tcPr>
            <w:tcW w:w="1203" w:type="dxa"/>
            <w:vAlign w:val="center"/>
          </w:tcPr>
          <w:p w14:paraId="3FB8D8B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地被小灌木补缺</w:t>
            </w:r>
          </w:p>
        </w:tc>
        <w:tc>
          <w:tcPr>
            <w:tcW w:w="951" w:type="dxa"/>
            <w:vAlign w:val="center"/>
          </w:tcPr>
          <w:p w14:paraId="08B9A56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3282" w:type="dxa"/>
            <w:vAlign w:val="center"/>
          </w:tcPr>
          <w:p w14:paraId="5B7F5089">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绿地内地被、小灌木无缺损，绿篱及满种模纹有空缺应及时归并补缺，草坪无空缺，如有空缺应及时重播或重铺，长势良好，生长期无黄化现象出现。</w:t>
            </w:r>
          </w:p>
        </w:tc>
        <w:tc>
          <w:tcPr>
            <w:tcW w:w="2805" w:type="dxa"/>
            <w:vAlign w:val="center"/>
          </w:tcPr>
          <w:p w14:paraId="157021C8">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绿地内对死亡空缺不主动按要求及时进行补缺的， 扣 1分/处；绿篱及满种色块空缺未按要求进行归并补缺的扣1 分/处，草坪空缺不及时重播、重铺的扣 1分/处，黄化明显的扣0.5分/处。</w:t>
            </w:r>
          </w:p>
        </w:tc>
      </w:tr>
      <w:tr w14:paraId="57EC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402488A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3D5F5A28">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5609B1C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13</w:t>
            </w:r>
          </w:p>
        </w:tc>
        <w:tc>
          <w:tcPr>
            <w:tcW w:w="1203" w:type="dxa"/>
            <w:vAlign w:val="center"/>
          </w:tcPr>
          <w:p w14:paraId="373D673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树体矫正及支撑整理</w:t>
            </w:r>
          </w:p>
        </w:tc>
        <w:tc>
          <w:tcPr>
            <w:tcW w:w="951" w:type="dxa"/>
            <w:vAlign w:val="center"/>
          </w:tcPr>
          <w:p w14:paraId="00A36F5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3282" w:type="dxa"/>
            <w:vAlign w:val="center"/>
          </w:tcPr>
          <w:p w14:paraId="4C2113AE">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树木无倾斜、倒歪现象，高大乔木应采取防倒有效措施，因台风等灾害天气造成树木倒伏时，应及时扶正,支撑倒伏树木，地段原有支撑完整无损、树体无铅丝嵌入现象，无用支撑及地桩及时清理。</w:t>
            </w:r>
          </w:p>
        </w:tc>
        <w:tc>
          <w:tcPr>
            <w:tcW w:w="2805" w:type="dxa"/>
            <w:vAlign w:val="center"/>
          </w:tcPr>
          <w:p w14:paraId="7671EAA2">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正常情况下发现绿地内有树木倒伏的，扣0.5 分/处；灾害性天气引起倒伏未及时扶正的扣0.5分/株，支撑缺损、无用支撑及地桩、 铅丝嵌入树体的扣0.5 分/株。</w:t>
            </w:r>
          </w:p>
        </w:tc>
      </w:tr>
      <w:tr w14:paraId="616D5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77D11D4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71A94DA4">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3CB4DA24">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14</w:t>
            </w:r>
          </w:p>
        </w:tc>
        <w:tc>
          <w:tcPr>
            <w:tcW w:w="1203" w:type="dxa"/>
            <w:vAlign w:val="center"/>
          </w:tcPr>
          <w:p w14:paraId="4F03CD07">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花境植物整理</w:t>
            </w:r>
          </w:p>
        </w:tc>
        <w:tc>
          <w:tcPr>
            <w:tcW w:w="951" w:type="dxa"/>
            <w:vAlign w:val="center"/>
          </w:tcPr>
          <w:p w14:paraId="46A0A28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282" w:type="dxa"/>
            <w:vAlign w:val="center"/>
          </w:tcPr>
          <w:p w14:paraId="3C9148B5">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花境植物长势良好，花境内植物层次错落有致，不杂乱，无空缺，各植物间边界清晰，生长互不影响，易扩张宿根类及时间苗，确保景观效果优美。</w:t>
            </w:r>
          </w:p>
        </w:tc>
        <w:tc>
          <w:tcPr>
            <w:tcW w:w="2805" w:type="dxa"/>
            <w:vAlign w:val="center"/>
          </w:tcPr>
          <w:p w14:paraId="2C8EB132">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花境植物杂乱、长势不佳，扣0.5 分/处；未按要求间苗、补种的扣 0.5 分/次。</w:t>
            </w:r>
          </w:p>
        </w:tc>
      </w:tr>
      <w:tr w14:paraId="475A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10B7031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655EA35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385EBB9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15</w:t>
            </w:r>
          </w:p>
        </w:tc>
        <w:tc>
          <w:tcPr>
            <w:tcW w:w="1203" w:type="dxa"/>
            <w:vAlign w:val="center"/>
          </w:tcPr>
          <w:p w14:paraId="14D938ED">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草坪铺设及地形修复</w:t>
            </w:r>
          </w:p>
        </w:tc>
        <w:tc>
          <w:tcPr>
            <w:tcW w:w="951" w:type="dxa"/>
            <w:vAlign w:val="center"/>
          </w:tcPr>
          <w:p w14:paraId="4F7CF09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282" w:type="dxa"/>
            <w:vAlign w:val="center"/>
          </w:tcPr>
          <w:p w14:paraId="4543CC45">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绿地内草坪地形平整，无坑洼，草坪与道路交界易破坏处及时平整修复，明显坑洼点位及时增围土方细平。</w:t>
            </w:r>
          </w:p>
        </w:tc>
        <w:tc>
          <w:tcPr>
            <w:tcW w:w="2805" w:type="dxa"/>
            <w:vAlign w:val="center"/>
          </w:tcPr>
          <w:p w14:paraId="72FF4430">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有明显坑洼处未及时增围土</w:t>
            </w:r>
          </w:p>
          <w:p w14:paraId="33374225">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方的扣0.5分/处，与道路交界处未及时修复的扣0.5分/处。</w:t>
            </w:r>
          </w:p>
        </w:tc>
      </w:tr>
      <w:tr w14:paraId="192E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4E07B497">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70392CB4">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4374418D">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16</w:t>
            </w:r>
          </w:p>
        </w:tc>
        <w:tc>
          <w:tcPr>
            <w:tcW w:w="1203" w:type="dxa"/>
            <w:vAlign w:val="center"/>
          </w:tcPr>
          <w:p w14:paraId="2F5B0CB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树穴整理、草坪切边</w:t>
            </w:r>
          </w:p>
        </w:tc>
        <w:tc>
          <w:tcPr>
            <w:tcW w:w="951" w:type="dxa"/>
            <w:vAlign w:val="center"/>
          </w:tcPr>
          <w:p w14:paraId="1558F2B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282" w:type="dxa"/>
            <w:vAlign w:val="center"/>
          </w:tcPr>
          <w:p w14:paraId="2E5A294B">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树穴应定期进行松土，确保苗木根部周围土壤疏松，松土深度以不伤根系生长为宜，灌木、地被、草坪间应进行切边处理，且切边应规范，不宜过宽、过深，切边需流畅圆润，其内种植土应细碎平整。</w:t>
            </w:r>
          </w:p>
        </w:tc>
        <w:tc>
          <w:tcPr>
            <w:tcW w:w="2805" w:type="dxa"/>
            <w:vAlign w:val="center"/>
          </w:tcPr>
          <w:p w14:paraId="5519BFAA">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灌木、地被、草坪间未进行切边处理，扣0.5 分/处；树穴土壤板结，长期不疏松，扣 0.5 分/处。</w:t>
            </w:r>
          </w:p>
        </w:tc>
      </w:tr>
      <w:tr w14:paraId="3C319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364782C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54DC8A1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4468C65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17</w:t>
            </w:r>
          </w:p>
        </w:tc>
        <w:tc>
          <w:tcPr>
            <w:tcW w:w="1203" w:type="dxa"/>
            <w:vAlign w:val="center"/>
          </w:tcPr>
          <w:p w14:paraId="0E2ADB8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林地土壤深翻</w:t>
            </w:r>
          </w:p>
        </w:tc>
        <w:tc>
          <w:tcPr>
            <w:tcW w:w="951" w:type="dxa"/>
            <w:vAlign w:val="center"/>
          </w:tcPr>
          <w:p w14:paraId="4226496A">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282" w:type="dxa"/>
            <w:vAlign w:val="center"/>
          </w:tcPr>
          <w:p w14:paraId="712C97FF">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每年冬季，片林空地进行整体深翻 1 次，深度约 30 厘米。</w:t>
            </w:r>
          </w:p>
        </w:tc>
        <w:tc>
          <w:tcPr>
            <w:tcW w:w="2805" w:type="dxa"/>
            <w:vAlign w:val="center"/>
          </w:tcPr>
          <w:p w14:paraId="0F4CA156">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未按要求进行片林空地深翻工作，扣 1 分/处。</w:t>
            </w:r>
          </w:p>
        </w:tc>
      </w:tr>
      <w:tr w14:paraId="744B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119578DF">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restart"/>
            <w:vAlign w:val="center"/>
          </w:tcPr>
          <w:p w14:paraId="304F0BB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spacing w:val="-4"/>
              </w:rPr>
              <w:t>修剪及</w:t>
            </w:r>
            <w:r>
              <w:rPr>
                <w:spacing w:val="-3"/>
              </w:rPr>
              <w:t>抹芽</w:t>
            </w:r>
          </w:p>
        </w:tc>
        <w:tc>
          <w:tcPr>
            <w:tcW w:w="633" w:type="dxa"/>
            <w:vAlign w:val="center"/>
          </w:tcPr>
          <w:p w14:paraId="6A9DE57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18</w:t>
            </w:r>
          </w:p>
        </w:tc>
        <w:tc>
          <w:tcPr>
            <w:tcW w:w="1203" w:type="dxa"/>
            <w:vAlign w:val="center"/>
          </w:tcPr>
          <w:p w14:paraId="75056E9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行道树及绿地乔木、小乔木</w:t>
            </w:r>
          </w:p>
        </w:tc>
        <w:tc>
          <w:tcPr>
            <w:tcW w:w="951" w:type="dxa"/>
            <w:vAlign w:val="center"/>
          </w:tcPr>
          <w:p w14:paraId="67AA6FA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3282" w:type="dxa"/>
            <w:vAlign w:val="center"/>
          </w:tcPr>
          <w:p w14:paraId="01A3FB23">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行道树统一高度，定杆修剪，不遮挡交通信号灯及交通指示牌。常绿行道树每年不少于 1次整树整形疏枝修剪，落叶行道树每年冬季进行 1 次整树整形疏枝修剪；各类乔木修剪剪口平整无撕裂，伤口保护措施得当，生长季节各类树种常态化抹芽，树体及根部无萌孽枝。</w:t>
            </w:r>
          </w:p>
        </w:tc>
        <w:tc>
          <w:tcPr>
            <w:tcW w:w="2805" w:type="dxa"/>
            <w:vAlign w:val="center"/>
          </w:tcPr>
          <w:p w14:paraId="13EF2039">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行道树未按规定修剪抽稀的扣 2 分/次，遮挡指示牌及信号灯的扣 0.5分/处，剪口不平整有撕裂的扣 0.5 分/处，伤口无保护措施的扣 1 分/次；抹芽不及时影响景观的扣 0.5 分/株，大批量未抹芽的扣 3 分/次。</w:t>
            </w:r>
          </w:p>
        </w:tc>
      </w:tr>
      <w:tr w14:paraId="6AECA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41784B6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7263E96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1DE1F8E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19</w:t>
            </w:r>
          </w:p>
        </w:tc>
        <w:tc>
          <w:tcPr>
            <w:tcW w:w="1203" w:type="dxa"/>
            <w:vAlign w:val="center"/>
          </w:tcPr>
          <w:p w14:paraId="3D29665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绿篱、模纹色块</w:t>
            </w:r>
          </w:p>
        </w:tc>
        <w:tc>
          <w:tcPr>
            <w:tcW w:w="951" w:type="dxa"/>
            <w:vAlign w:val="center"/>
          </w:tcPr>
          <w:p w14:paraId="217EF3ED">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3282" w:type="dxa"/>
            <w:vAlign w:val="center"/>
          </w:tcPr>
          <w:p w14:paraId="6F569B1A">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隔离带绿篱、色块修剪及时、准确，保持顶部和基部水平，做到无断层、无缺口、无光秃，线条应横平竖直，有弧度的应过渡自然不生硬，各品种保持20-30cm 修剪落差，道路两侧绿地内单品种色块修剪高度控制在100</w:t>
            </w:r>
            <w:r>
              <w:rPr>
                <w:rFonts w:hint="eastAsia" w:ascii="宋体" w:hAnsi="宋体" w:cs="宋体"/>
                <w:spacing w:val="0"/>
                <w:sz w:val="21"/>
                <w:szCs w:val="21"/>
                <w:lang w:val="en-US" w:eastAsia="zh-CN"/>
              </w:rPr>
              <w:t>-</w:t>
            </w:r>
            <w:r>
              <w:rPr>
                <w:rFonts w:hint="eastAsia" w:ascii="宋体" w:hAnsi="宋体" w:eastAsia="宋体" w:cs="宋体"/>
                <w:spacing w:val="0"/>
                <w:sz w:val="21"/>
                <w:szCs w:val="21"/>
              </w:rPr>
              <w:t>120cm 左右，同区域高度一致，生长季每月修剪 1 次。</w:t>
            </w:r>
          </w:p>
        </w:tc>
        <w:tc>
          <w:tcPr>
            <w:tcW w:w="2805" w:type="dxa"/>
            <w:vAlign w:val="center"/>
          </w:tcPr>
          <w:p w14:paraId="4E1C1CBE">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色块修剪形状不完整、线条不流畅， 扣 1分/处，层次不明显的扣 0.5分/处。</w:t>
            </w:r>
          </w:p>
        </w:tc>
      </w:tr>
      <w:tr w14:paraId="6E59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2AD26FA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4981A5A8">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21A4E57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1203" w:type="dxa"/>
            <w:vAlign w:val="center"/>
          </w:tcPr>
          <w:p w14:paraId="006D1FE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球类、立柱</w:t>
            </w:r>
          </w:p>
        </w:tc>
        <w:tc>
          <w:tcPr>
            <w:tcW w:w="951" w:type="dxa"/>
            <w:vAlign w:val="center"/>
          </w:tcPr>
          <w:p w14:paraId="328F46B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3282" w:type="dxa"/>
            <w:vAlign w:val="center"/>
          </w:tcPr>
          <w:p w14:paraId="2995F533">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球类、立柱修剪应圆整无空秃， 列植式球类\柱类修剪需圆润饱</w:t>
            </w:r>
          </w:p>
          <w:p w14:paraId="5D5DDB98">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满，顶部、下脚修剪高度一致；组团式球类修剪应错落有致球体之间有分界无枝叶交错生长季节按规定及时修剪。</w:t>
            </w:r>
          </w:p>
        </w:tc>
        <w:tc>
          <w:tcPr>
            <w:tcW w:w="2805" w:type="dxa"/>
            <w:vAlign w:val="center"/>
          </w:tcPr>
          <w:p w14:paraId="152D611E">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球类及立柱类修剪面有缺损</w:t>
            </w:r>
          </w:p>
          <w:p w14:paraId="3380D542">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扣 0.5 分/处；顶部、下脚修剪高度不一致扣 0.5 分/处，未按要求在规定期限内完成修剪的扣2分/次。</w:t>
            </w:r>
          </w:p>
        </w:tc>
      </w:tr>
      <w:tr w14:paraId="663B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772CABA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467E6AC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762CF8C7">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21</w:t>
            </w:r>
          </w:p>
        </w:tc>
        <w:tc>
          <w:tcPr>
            <w:tcW w:w="1203" w:type="dxa"/>
            <w:vAlign w:val="center"/>
          </w:tcPr>
          <w:p w14:paraId="35E8B6B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花灌木及果树</w:t>
            </w:r>
          </w:p>
        </w:tc>
        <w:tc>
          <w:tcPr>
            <w:tcW w:w="951" w:type="dxa"/>
            <w:vAlign w:val="center"/>
          </w:tcPr>
          <w:p w14:paraId="22EE0EA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3282" w:type="dxa"/>
            <w:vAlign w:val="center"/>
          </w:tcPr>
          <w:p w14:paraId="3662326D">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根据花灌木品种、生长阶段、生长势强弱、花芽着生部位、开花季节等及时剥芽、修剪，确保树木通风透光良好，定枝、整枝合理，无徒长枝、病虫枝、交叉枝、平行枝、下垂枝、萌蘖枝，修剪操作规范，剪口平整，及时涂抹防腐剂或生长素；果树类挂果期应及时疏果以免乱采乱摘。</w:t>
            </w:r>
          </w:p>
        </w:tc>
        <w:tc>
          <w:tcPr>
            <w:tcW w:w="2805" w:type="dxa"/>
            <w:vAlign w:val="center"/>
          </w:tcPr>
          <w:p w14:paraId="23055157">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修剪不合时宜，私自乱修，造成不良景观效果，扣 3分/次；花后修剪不及时错失修剪时机扣 3分/次，有大量徒长枝、病虫枝、交叉枝</w:t>
            </w:r>
          </w:p>
          <w:p w14:paraId="3CBDCD5B">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等，扣 0.5 分/处；绿地内果树类（银杏、紫叶李、杨</w:t>
            </w:r>
          </w:p>
          <w:p w14:paraId="33D0FFB5">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梅、香橼、木瓜、枇杷等）疏果不及时，乱采摘造成断枝，扣 0.5 分/处。</w:t>
            </w:r>
          </w:p>
        </w:tc>
      </w:tr>
      <w:tr w14:paraId="7ABCA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4D63A3F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4FC17F8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5828D17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22</w:t>
            </w:r>
          </w:p>
        </w:tc>
        <w:tc>
          <w:tcPr>
            <w:tcW w:w="1203" w:type="dxa"/>
            <w:vAlign w:val="center"/>
          </w:tcPr>
          <w:p w14:paraId="4687E527">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草坪及地被</w:t>
            </w:r>
          </w:p>
        </w:tc>
        <w:tc>
          <w:tcPr>
            <w:tcW w:w="951" w:type="dxa"/>
            <w:vAlign w:val="center"/>
          </w:tcPr>
          <w:p w14:paraId="1CEE188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3282" w:type="dxa"/>
            <w:vAlign w:val="center"/>
          </w:tcPr>
          <w:p w14:paraId="2DBAF4AD">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草坪要适时进行修剪，高温季节修剪高度不低于 8-10 厘米，暖季型草坪冬季修剪高度不高于 5-8 公分，以免引起过火，修剪面平整，边角无遗留，草屑、枯草层及时清理运出；林地三叶草及苜蓿类地被夏季休眠期应修剪控制高度（不高于10 厘米）减轻地被厚度。</w:t>
            </w:r>
          </w:p>
        </w:tc>
        <w:tc>
          <w:tcPr>
            <w:tcW w:w="2805" w:type="dxa"/>
            <w:vAlign w:val="center"/>
          </w:tcPr>
          <w:p w14:paraId="50D4030F">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草坪修剪不平整、色斑明显，扣 0.5 分/处；草坪修剪太低导致枯黄，扣 1 分/处；冬季草坪过高引起过火，补救措施不及时扣 1分/处；地被植物未按要求修剪扣 2 分/次。</w:t>
            </w:r>
          </w:p>
        </w:tc>
      </w:tr>
      <w:tr w14:paraId="033AA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57F314D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582828C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14EC411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23</w:t>
            </w:r>
          </w:p>
        </w:tc>
        <w:tc>
          <w:tcPr>
            <w:tcW w:w="1203" w:type="dxa"/>
            <w:vAlign w:val="center"/>
          </w:tcPr>
          <w:p w14:paraId="60D4AAD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攀援植物</w:t>
            </w:r>
          </w:p>
        </w:tc>
        <w:tc>
          <w:tcPr>
            <w:tcW w:w="951" w:type="dxa"/>
            <w:vAlign w:val="center"/>
          </w:tcPr>
          <w:p w14:paraId="71AEA228">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282" w:type="dxa"/>
            <w:vAlign w:val="center"/>
          </w:tcPr>
          <w:p w14:paraId="2B613B86">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攀援植物在开花后及时进行修剪，生长季节做好梳理、绑扎加固等工作，落叶后进行休眠期修剪，及时清除枯死枝、老弱枝，减少枝条重叠并做好牵引，防止无序生长。</w:t>
            </w:r>
          </w:p>
        </w:tc>
        <w:tc>
          <w:tcPr>
            <w:tcW w:w="2805" w:type="dxa"/>
            <w:vAlign w:val="center"/>
          </w:tcPr>
          <w:p w14:paraId="53F8AC8F">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攀援植物未按季节修剪，扣 1 分/次；花后残花修剪不及时扣 1 分/次。</w:t>
            </w:r>
          </w:p>
        </w:tc>
      </w:tr>
      <w:tr w14:paraId="7FDEF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48AF390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71EE025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6A70A5E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24</w:t>
            </w:r>
          </w:p>
        </w:tc>
        <w:tc>
          <w:tcPr>
            <w:tcW w:w="1203" w:type="dxa"/>
            <w:vAlign w:val="center"/>
          </w:tcPr>
          <w:p w14:paraId="25E5F21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花境宿根花卉及造型树</w:t>
            </w:r>
          </w:p>
        </w:tc>
        <w:tc>
          <w:tcPr>
            <w:tcW w:w="951" w:type="dxa"/>
            <w:vAlign w:val="center"/>
          </w:tcPr>
          <w:p w14:paraId="1BB382CA">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282" w:type="dxa"/>
            <w:vAlign w:val="center"/>
          </w:tcPr>
          <w:p w14:paraId="71130512">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花境宿根及一二年生花卉散籽期后及时修剪，造型树适时修剪造型，枝片丰满；观赏草修剪，留茬高度一致、整齐，景观效果良好。</w:t>
            </w:r>
          </w:p>
        </w:tc>
        <w:tc>
          <w:tcPr>
            <w:tcW w:w="2805" w:type="dxa"/>
            <w:vAlign w:val="center"/>
          </w:tcPr>
          <w:p w14:paraId="72D4EDC0">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花境植物修剪不及时扣 0.5</w:t>
            </w:r>
          </w:p>
          <w:p w14:paraId="00D5F7F7">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分/处，造型树修剪不当未适时造型扣 1分/处。</w:t>
            </w:r>
          </w:p>
        </w:tc>
      </w:tr>
      <w:tr w14:paraId="7595F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1E60B45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restart"/>
            <w:vAlign w:val="center"/>
          </w:tcPr>
          <w:p w14:paraId="5BE05BC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spacing w:val="-4"/>
              </w:rPr>
              <w:t>浇灌排</w:t>
            </w:r>
            <w:r>
              <w:t>水</w:t>
            </w:r>
          </w:p>
        </w:tc>
        <w:tc>
          <w:tcPr>
            <w:tcW w:w="633" w:type="dxa"/>
            <w:vMerge w:val="restart"/>
            <w:vAlign w:val="center"/>
          </w:tcPr>
          <w:p w14:paraId="451747B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25</w:t>
            </w:r>
          </w:p>
        </w:tc>
        <w:tc>
          <w:tcPr>
            <w:tcW w:w="1203" w:type="dxa"/>
            <w:vMerge w:val="restart"/>
            <w:vAlign w:val="center"/>
          </w:tcPr>
          <w:p w14:paraId="5335478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绿化浇水</w:t>
            </w:r>
          </w:p>
        </w:tc>
        <w:tc>
          <w:tcPr>
            <w:tcW w:w="951" w:type="dxa"/>
            <w:vMerge w:val="restart"/>
            <w:vAlign w:val="center"/>
          </w:tcPr>
          <w:p w14:paraId="296CB10A">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3282" w:type="dxa"/>
            <w:vAlign w:val="center"/>
          </w:tcPr>
          <w:p w14:paraId="7C7EDB8D">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根据实际，对绿化树木及草坪进行适期适量浇水、喷水，夏秋季节连续两周无降雨必须启动抗旱应急预案，配足水车、水泵等浇水设备，确保各类植物无干旱致死情况发生。</w:t>
            </w:r>
          </w:p>
        </w:tc>
        <w:tc>
          <w:tcPr>
            <w:tcW w:w="2805" w:type="dxa"/>
            <w:vMerge w:val="restart"/>
            <w:vAlign w:val="center"/>
          </w:tcPr>
          <w:p w14:paraId="5024E1DF">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高温抗旱期间，因措施不力导致大量植物焦头、枯死，扣 4 分；日常浇水不及时，导致植物长势不佳或枯死，扣 1 分/处；浇水时段不当扣 1 分/次。</w:t>
            </w:r>
          </w:p>
        </w:tc>
      </w:tr>
      <w:tr w14:paraId="43B39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6344AE8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0722D31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Merge w:val="continue"/>
            <w:vAlign w:val="center"/>
          </w:tcPr>
          <w:p w14:paraId="28D3685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203" w:type="dxa"/>
            <w:vMerge w:val="continue"/>
            <w:vAlign w:val="center"/>
          </w:tcPr>
          <w:p w14:paraId="75515CC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951" w:type="dxa"/>
            <w:vMerge w:val="continue"/>
            <w:vAlign w:val="center"/>
          </w:tcPr>
          <w:p w14:paraId="2A974E1D">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3282" w:type="dxa"/>
            <w:vAlign w:val="center"/>
          </w:tcPr>
          <w:p w14:paraId="25EE9B89">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抗干旱措施得当，重要道路重要品种如樱花等应结合叶面喷雾或树干保湿，浇灌效果不理想的情况下使用滴灌袋、抗蒸腾剂及保水剂等，浇水时间应避开行人、车辆上下班高峰期及夏季高温时段（10:00-15:00），夏季尽量选择在早晨或晚上适时适量进行浇灌作业。</w:t>
            </w:r>
          </w:p>
        </w:tc>
        <w:tc>
          <w:tcPr>
            <w:tcW w:w="2805" w:type="dxa"/>
            <w:vMerge w:val="continue"/>
            <w:vAlign w:val="center"/>
          </w:tcPr>
          <w:p w14:paraId="03A2EC59">
            <w:pPr>
              <w:pStyle w:val="316"/>
              <w:spacing w:before="57" w:line="228" w:lineRule="auto"/>
              <w:ind w:left="142"/>
              <w:jc w:val="both"/>
              <w:rPr>
                <w:rFonts w:hint="eastAsia" w:ascii="宋体" w:hAnsi="宋体" w:eastAsia="宋体" w:cs="宋体"/>
                <w:spacing w:val="0"/>
                <w:sz w:val="21"/>
                <w:szCs w:val="21"/>
              </w:rPr>
            </w:pPr>
          </w:p>
        </w:tc>
      </w:tr>
      <w:tr w14:paraId="7F3E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488BDB5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29049D8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4DA4543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26</w:t>
            </w:r>
          </w:p>
        </w:tc>
        <w:tc>
          <w:tcPr>
            <w:tcW w:w="1203" w:type="dxa"/>
            <w:vAlign w:val="center"/>
          </w:tcPr>
          <w:p w14:paraId="16E41F6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绿地排水</w:t>
            </w:r>
          </w:p>
        </w:tc>
        <w:tc>
          <w:tcPr>
            <w:tcW w:w="951" w:type="dxa"/>
            <w:vAlign w:val="center"/>
          </w:tcPr>
          <w:p w14:paraId="3AAD814F">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282" w:type="dxa"/>
            <w:vAlign w:val="center"/>
          </w:tcPr>
          <w:p w14:paraId="2C126A29">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雨季绿地内无积水，坑洼处必须及时填平，耐涝性差的树木应在 6小时内排除积水、地被12 小时内排除积水，低洼易积水处设置排水沟，确保雨后积水及时排除，道路景观林带内沟渠畅通无堵塞现</w:t>
            </w:r>
            <w:r>
              <w:rPr>
                <w:rFonts w:hint="eastAsia" w:ascii="宋体" w:hAnsi="宋体" w:eastAsia="宋体" w:cs="宋体"/>
                <w:spacing w:val="0"/>
                <w:sz w:val="21"/>
                <w:szCs w:val="21"/>
                <w:lang w:val="en-US" w:eastAsia="zh-CN"/>
              </w:rPr>
              <w:t>象。</w:t>
            </w:r>
          </w:p>
        </w:tc>
        <w:tc>
          <w:tcPr>
            <w:tcW w:w="2805" w:type="dxa"/>
            <w:vAlign w:val="center"/>
          </w:tcPr>
          <w:p w14:paraId="2466A1AC">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雨季积水未及时排出， 导致树木烂根、死亡，扣 0.5 分/处；林带内沟渠疏通不及时引起绿地积水的扣 1 分/次。</w:t>
            </w:r>
          </w:p>
        </w:tc>
      </w:tr>
      <w:tr w14:paraId="2F81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550" w:type="dxa"/>
            <w:gridSpan w:val="4"/>
            <w:vAlign w:val="top"/>
          </w:tcPr>
          <w:p w14:paraId="30A56DC9">
            <w:pPr>
              <w:pStyle w:val="316"/>
              <w:spacing w:before="77" w:line="221" w:lineRule="auto"/>
              <w:ind w:left="1703" w:leftChars="0"/>
              <w:rPr>
                <w:rFonts w:hint="eastAsia" w:ascii="宋体" w:hAnsi="宋体" w:eastAsia="宋体" w:cs="宋体"/>
                <w:b/>
                <w:bCs/>
                <w:sz w:val="21"/>
                <w:szCs w:val="21"/>
              </w:rPr>
            </w:pPr>
            <w:r>
              <w:rPr>
                <w:rFonts w:hint="eastAsia" w:ascii="宋体" w:hAnsi="宋体" w:eastAsia="宋体" w:cs="宋体"/>
                <w:b/>
                <w:bCs/>
                <w:spacing w:val="-4"/>
                <w:sz w:val="21"/>
                <w:szCs w:val="21"/>
              </w:rPr>
              <w:t>小计</w:t>
            </w:r>
          </w:p>
        </w:tc>
        <w:tc>
          <w:tcPr>
            <w:tcW w:w="951" w:type="dxa"/>
            <w:vAlign w:val="top"/>
          </w:tcPr>
          <w:p w14:paraId="49147759">
            <w:pPr>
              <w:pStyle w:val="316"/>
              <w:spacing w:before="77"/>
              <w:ind w:left="358" w:leftChars="0"/>
              <w:rPr>
                <w:rFonts w:hint="eastAsia" w:ascii="宋体" w:hAnsi="宋体" w:eastAsia="宋体" w:cs="宋体"/>
                <w:b/>
                <w:bCs/>
                <w:sz w:val="21"/>
                <w:szCs w:val="21"/>
              </w:rPr>
            </w:pPr>
            <w:r>
              <w:rPr>
                <w:rFonts w:hint="eastAsia" w:ascii="宋体" w:hAnsi="宋体" w:eastAsia="宋体" w:cs="宋体"/>
                <w:b/>
                <w:bCs/>
                <w:spacing w:val="-5"/>
                <w:sz w:val="21"/>
                <w:szCs w:val="21"/>
              </w:rPr>
              <w:t>62</w:t>
            </w:r>
          </w:p>
        </w:tc>
        <w:tc>
          <w:tcPr>
            <w:tcW w:w="3282" w:type="dxa"/>
            <w:vAlign w:val="center"/>
          </w:tcPr>
          <w:p w14:paraId="14455429">
            <w:pPr>
              <w:pStyle w:val="316"/>
              <w:keepNext w:val="0"/>
              <w:keepLines w:val="0"/>
              <w:pageBreakBefore w:val="0"/>
              <w:tabs>
                <w:tab w:val="left" w:pos="2520"/>
              </w:tabs>
              <w:kinsoku/>
              <w:wordWrap/>
              <w:overflowPunct/>
              <w:topLinePunct w:val="0"/>
              <w:autoSpaceDE/>
              <w:autoSpaceDN/>
              <w:bidi w:val="0"/>
              <w:adjustRightInd/>
              <w:snapToGrid/>
              <w:spacing w:before="0" w:after="0" w:line="240" w:lineRule="auto"/>
              <w:ind w:right="84" w:rightChars="0"/>
              <w:jc w:val="both"/>
              <w:textAlignment w:val="auto"/>
              <w:rPr>
                <w:rFonts w:hint="eastAsia" w:ascii="宋体" w:hAnsi="宋体" w:eastAsia="宋体" w:cs="宋体"/>
                <w:spacing w:val="0"/>
                <w:sz w:val="21"/>
                <w:szCs w:val="21"/>
              </w:rPr>
            </w:pPr>
          </w:p>
        </w:tc>
        <w:tc>
          <w:tcPr>
            <w:tcW w:w="2805" w:type="dxa"/>
            <w:vAlign w:val="center"/>
          </w:tcPr>
          <w:p w14:paraId="7D24C76D">
            <w:pPr>
              <w:pStyle w:val="316"/>
              <w:spacing w:before="57" w:line="228" w:lineRule="auto"/>
              <w:ind w:left="142"/>
              <w:jc w:val="both"/>
              <w:rPr>
                <w:rFonts w:hint="eastAsia" w:ascii="宋体" w:hAnsi="宋体" w:eastAsia="宋体" w:cs="宋体"/>
                <w:spacing w:val="0"/>
                <w:sz w:val="21"/>
                <w:szCs w:val="21"/>
              </w:rPr>
            </w:pPr>
          </w:p>
        </w:tc>
      </w:tr>
      <w:tr w14:paraId="3617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restart"/>
            <w:vAlign w:val="center"/>
          </w:tcPr>
          <w:p w14:paraId="4CBAB8C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spacing w:val="-6"/>
                <w:sz w:val="21"/>
                <w:szCs w:val="21"/>
              </w:rPr>
              <w:t>绿地保护</w:t>
            </w:r>
          </w:p>
        </w:tc>
        <w:tc>
          <w:tcPr>
            <w:tcW w:w="1141" w:type="dxa"/>
            <w:vAlign w:val="center"/>
          </w:tcPr>
          <w:p w14:paraId="129441D8">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毁绿、占绿</w:t>
            </w:r>
          </w:p>
        </w:tc>
        <w:tc>
          <w:tcPr>
            <w:tcW w:w="633" w:type="dxa"/>
            <w:vAlign w:val="center"/>
          </w:tcPr>
          <w:p w14:paraId="0FD3F49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27</w:t>
            </w:r>
          </w:p>
        </w:tc>
        <w:tc>
          <w:tcPr>
            <w:tcW w:w="1203" w:type="dxa"/>
            <w:vAlign w:val="center"/>
          </w:tcPr>
          <w:p w14:paraId="2ED6ECD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绿地无手续开挖、蔬菜种植及树木截杆、砍伐</w:t>
            </w:r>
          </w:p>
        </w:tc>
        <w:tc>
          <w:tcPr>
            <w:tcW w:w="951" w:type="dxa"/>
            <w:vAlign w:val="center"/>
          </w:tcPr>
          <w:p w14:paraId="627E765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3282" w:type="dxa"/>
            <w:vAlign w:val="center"/>
          </w:tcPr>
          <w:p w14:paraId="01D09B9B">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保持绿地、林地完整，发现破坏绿地林地及无手续开挖现象要及时制止并拍照上报，严防绿地林地被无故侵占；林下及绿地边缘、河坡等无蔬菜种植；加强绿地巡视，严防管线单位无手续及无序对树木进行截杆、砍伐。</w:t>
            </w:r>
          </w:p>
        </w:tc>
        <w:tc>
          <w:tcPr>
            <w:tcW w:w="2805" w:type="dxa"/>
            <w:vAlign w:val="center"/>
          </w:tcPr>
          <w:p w14:paraId="535E469A">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发现绿地林地破坏未及时制止上报的扣 3分/次；有蔬菜种植的扣 0.5分/处，树木被无故砍伐的扣3 分/次，因截杆砍伐后果严重、影响绿地整体景观的扣5 分/次。</w:t>
            </w:r>
          </w:p>
        </w:tc>
      </w:tr>
      <w:tr w14:paraId="51D94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67214A87">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Align w:val="center"/>
          </w:tcPr>
          <w:p w14:paraId="4A8BE31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绿化恢复</w:t>
            </w:r>
          </w:p>
        </w:tc>
        <w:tc>
          <w:tcPr>
            <w:tcW w:w="633" w:type="dxa"/>
            <w:vAlign w:val="center"/>
          </w:tcPr>
          <w:p w14:paraId="3CF4B4B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28</w:t>
            </w:r>
          </w:p>
        </w:tc>
        <w:tc>
          <w:tcPr>
            <w:tcW w:w="1203" w:type="dxa"/>
            <w:vAlign w:val="center"/>
          </w:tcPr>
          <w:p w14:paraId="73DCB8E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开挖地块绿化修复及后期养护</w:t>
            </w:r>
          </w:p>
        </w:tc>
        <w:tc>
          <w:tcPr>
            <w:tcW w:w="951" w:type="dxa"/>
            <w:vAlign w:val="center"/>
          </w:tcPr>
          <w:p w14:paraId="12ED8CA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282" w:type="dxa"/>
            <w:vAlign w:val="center"/>
          </w:tcPr>
          <w:p w14:paraId="4B171831">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绿地开挖结束后及时跟进（期限一个月)，尽快将开挖处恢复原样，修复地块围土平整，新补品种必须报甲方同意后才可动工，并与周边景观上和谐一致，后期养护措施到位，成活率高。</w:t>
            </w:r>
          </w:p>
        </w:tc>
        <w:tc>
          <w:tcPr>
            <w:tcW w:w="2805" w:type="dxa"/>
            <w:vAlign w:val="center"/>
          </w:tcPr>
          <w:p w14:paraId="2952A765">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绿地长期未恢复的扣2 分/次，新种地块土方不平整建筑垃圾多的扣1 分/处，苗木品种未经甲方许可扣2分/次并重新安排种植；后期养护不力措施失当的扣 1 分/处。</w:t>
            </w:r>
          </w:p>
        </w:tc>
      </w:tr>
      <w:tr w14:paraId="04723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550" w:type="dxa"/>
            <w:gridSpan w:val="4"/>
            <w:vAlign w:val="center"/>
          </w:tcPr>
          <w:p w14:paraId="5C0431F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z w:val="21"/>
                <w:szCs w:val="21"/>
                <w:lang w:val="en-US" w:eastAsia="zh-CN"/>
              </w:rPr>
            </w:pPr>
            <w:r>
              <w:rPr>
                <w:rFonts w:hint="eastAsia" w:ascii="宋体" w:hAnsi="宋体" w:cs="宋体"/>
                <w:b/>
                <w:bCs/>
                <w:sz w:val="21"/>
                <w:szCs w:val="21"/>
                <w:lang w:val="en-US" w:eastAsia="zh-CN"/>
              </w:rPr>
              <w:t>小计</w:t>
            </w:r>
          </w:p>
        </w:tc>
        <w:tc>
          <w:tcPr>
            <w:tcW w:w="951" w:type="dxa"/>
            <w:vAlign w:val="center"/>
          </w:tcPr>
          <w:p w14:paraId="65B3B2E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lang w:val="en-US" w:eastAsia="zh-CN"/>
              </w:rPr>
            </w:pPr>
            <w:r>
              <w:rPr>
                <w:rFonts w:hint="eastAsia" w:ascii="宋体" w:hAnsi="宋体" w:cs="宋体"/>
                <w:b/>
                <w:bCs/>
                <w:sz w:val="21"/>
                <w:szCs w:val="21"/>
                <w:lang w:val="en-US" w:eastAsia="zh-CN"/>
              </w:rPr>
              <w:t>7</w:t>
            </w:r>
          </w:p>
        </w:tc>
        <w:tc>
          <w:tcPr>
            <w:tcW w:w="3282" w:type="dxa"/>
            <w:vAlign w:val="center"/>
          </w:tcPr>
          <w:p w14:paraId="0D8A6C24">
            <w:pPr>
              <w:pStyle w:val="316"/>
              <w:keepNext w:val="0"/>
              <w:keepLines w:val="0"/>
              <w:pageBreakBefore w:val="0"/>
              <w:tabs>
                <w:tab w:val="left" w:pos="2520"/>
              </w:tabs>
              <w:kinsoku/>
              <w:wordWrap/>
              <w:overflowPunct/>
              <w:topLinePunct w:val="0"/>
              <w:autoSpaceDE/>
              <w:autoSpaceDN/>
              <w:bidi w:val="0"/>
              <w:adjustRightInd/>
              <w:snapToGrid/>
              <w:spacing w:before="0" w:after="0" w:line="240" w:lineRule="auto"/>
              <w:ind w:right="84" w:rightChars="0"/>
              <w:jc w:val="both"/>
              <w:textAlignment w:val="auto"/>
              <w:rPr>
                <w:rFonts w:hint="eastAsia" w:ascii="宋体" w:hAnsi="宋体" w:eastAsia="宋体" w:cs="宋体"/>
                <w:spacing w:val="0"/>
                <w:sz w:val="21"/>
                <w:szCs w:val="21"/>
              </w:rPr>
            </w:pPr>
          </w:p>
        </w:tc>
        <w:tc>
          <w:tcPr>
            <w:tcW w:w="2805" w:type="dxa"/>
            <w:vAlign w:val="center"/>
          </w:tcPr>
          <w:p w14:paraId="09585771">
            <w:pPr>
              <w:pStyle w:val="316"/>
              <w:spacing w:before="57" w:line="228" w:lineRule="auto"/>
              <w:ind w:left="142"/>
              <w:jc w:val="both"/>
              <w:rPr>
                <w:rFonts w:hint="eastAsia" w:ascii="宋体" w:hAnsi="宋体" w:eastAsia="宋体" w:cs="宋体"/>
                <w:spacing w:val="0"/>
                <w:sz w:val="21"/>
                <w:szCs w:val="21"/>
              </w:rPr>
            </w:pPr>
          </w:p>
        </w:tc>
      </w:tr>
      <w:tr w14:paraId="2E2B3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restart"/>
            <w:vAlign w:val="center"/>
          </w:tcPr>
          <w:p w14:paraId="6856B718">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spacing w:val="-7"/>
                <w:sz w:val="21"/>
                <w:szCs w:val="21"/>
              </w:rPr>
              <w:t>组织</w:t>
            </w:r>
            <w:r>
              <w:rPr>
                <w:spacing w:val="-8"/>
                <w:sz w:val="21"/>
                <w:szCs w:val="21"/>
              </w:rPr>
              <w:t>管理</w:t>
            </w:r>
          </w:p>
        </w:tc>
        <w:tc>
          <w:tcPr>
            <w:tcW w:w="1141" w:type="dxa"/>
            <w:vMerge w:val="restart"/>
            <w:vAlign w:val="center"/>
          </w:tcPr>
          <w:p w14:paraId="71DACF7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人员考核</w:t>
            </w:r>
          </w:p>
        </w:tc>
        <w:tc>
          <w:tcPr>
            <w:tcW w:w="633" w:type="dxa"/>
            <w:vAlign w:val="center"/>
          </w:tcPr>
          <w:p w14:paraId="4EB810C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29</w:t>
            </w:r>
          </w:p>
        </w:tc>
        <w:tc>
          <w:tcPr>
            <w:tcW w:w="1203" w:type="dxa"/>
            <w:vAlign w:val="center"/>
          </w:tcPr>
          <w:p w14:paraId="2BE4B7A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核定养护工人数量</w:t>
            </w:r>
          </w:p>
        </w:tc>
        <w:tc>
          <w:tcPr>
            <w:tcW w:w="951" w:type="dxa"/>
            <w:vAlign w:val="center"/>
          </w:tcPr>
          <w:p w14:paraId="18E0873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3282" w:type="dxa"/>
            <w:vAlign w:val="center"/>
          </w:tcPr>
          <w:p w14:paraId="1D642D18">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养护单位每日按管护地段面积配备养护人员，管护旺季（3 月中旬-10 月中旬)为18000 平方米/人；管护淡季（10 月下旬-次年 3 月上旬）为 20000平方米/人；</w:t>
            </w:r>
          </w:p>
        </w:tc>
        <w:tc>
          <w:tcPr>
            <w:tcW w:w="2805" w:type="dxa"/>
            <w:vAlign w:val="center"/>
          </w:tcPr>
          <w:p w14:paraId="09764046">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月度集中考核，实点人员数量/核定人员数量*4=单次分值；多次考核以平均值来确定最终分值。</w:t>
            </w:r>
          </w:p>
        </w:tc>
      </w:tr>
      <w:tr w14:paraId="4CFAD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5C0C77D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59947A9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7F18E3B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30</w:t>
            </w:r>
          </w:p>
        </w:tc>
        <w:tc>
          <w:tcPr>
            <w:tcW w:w="1203" w:type="dxa"/>
            <w:vAlign w:val="center"/>
          </w:tcPr>
          <w:p w14:paraId="3AAB706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养护负责人情况</w:t>
            </w:r>
          </w:p>
        </w:tc>
        <w:tc>
          <w:tcPr>
            <w:tcW w:w="951" w:type="dxa"/>
            <w:vAlign w:val="center"/>
          </w:tcPr>
          <w:p w14:paraId="07058264">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282" w:type="dxa"/>
            <w:vAlign w:val="center"/>
          </w:tcPr>
          <w:p w14:paraId="3A03EDA8">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各养护单位需按要求配备项目负责人、现场负责人各 1 名。项目负责人、现场负责人通讯（手机、QQ 等）设备畅通，无特殊原因，未经甲方同意，不得更换项目负责人、现场负责人。</w:t>
            </w:r>
          </w:p>
        </w:tc>
        <w:tc>
          <w:tcPr>
            <w:tcW w:w="2805" w:type="dxa"/>
            <w:vAlign w:val="center"/>
          </w:tcPr>
          <w:p w14:paraId="0FD76EA2">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项目负责人、现场负责人通讯设备不通畅、未及时回复的扣 1 分/次；QQ 工作群消息反馈不及时的扣0.5分/次。</w:t>
            </w:r>
          </w:p>
        </w:tc>
      </w:tr>
      <w:tr w14:paraId="3318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09B20C5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Align w:val="center"/>
          </w:tcPr>
          <w:p w14:paraId="5D2CAADB">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应急抢险</w:t>
            </w:r>
          </w:p>
        </w:tc>
        <w:tc>
          <w:tcPr>
            <w:tcW w:w="633" w:type="dxa"/>
            <w:vAlign w:val="center"/>
          </w:tcPr>
          <w:p w14:paraId="3ABFC64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31</w:t>
            </w:r>
          </w:p>
        </w:tc>
        <w:tc>
          <w:tcPr>
            <w:tcW w:w="1203" w:type="dxa"/>
            <w:vAlign w:val="center"/>
          </w:tcPr>
          <w:p w14:paraId="1041F83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灾害性天气抢险</w:t>
            </w:r>
          </w:p>
        </w:tc>
        <w:tc>
          <w:tcPr>
            <w:tcW w:w="951" w:type="dxa"/>
            <w:vAlign w:val="center"/>
          </w:tcPr>
          <w:p w14:paraId="61D3F73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3282" w:type="dxa"/>
            <w:vAlign w:val="center"/>
          </w:tcPr>
          <w:p w14:paraId="7480CC94">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抢险车辆、机械、绳索、人员等及时到位，养护单位负责人通讯畅通，不同灾害分类处理，措施有效、得当。</w:t>
            </w:r>
          </w:p>
        </w:tc>
        <w:tc>
          <w:tcPr>
            <w:tcW w:w="2805" w:type="dxa"/>
            <w:vAlign w:val="center"/>
          </w:tcPr>
          <w:p w14:paraId="1DCB3849">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抢险期间通讯不畅的扣2分/次，车辆机械、人员不充足的扣 1 分/次，抢险措施不当的扣 1分/次。</w:t>
            </w:r>
          </w:p>
        </w:tc>
      </w:tr>
      <w:tr w14:paraId="42044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4D79CD3F">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Align w:val="center"/>
          </w:tcPr>
          <w:p w14:paraId="40DA611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应急抢险</w:t>
            </w:r>
          </w:p>
        </w:tc>
        <w:tc>
          <w:tcPr>
            <w:tcW w:w="633" w:type="dxa"/>
            <w:vAlign w:val="center"/>
          </w:tcPr>
          <w:p w14:paraId="41FC6AC4">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32</w:t>
            </w:r>
          </w:p>
        </w:tc>
        <w:tc>
          <w:tcPr>
            <w:tcW w:w="1203" w:type="dxa"/>
            <w:vAlign w:val="center"/>
          </w:tcPr>
          <w:p w14:paraId="30EDECF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应急处理</w:t>
            </w:r>
          </w:p>
        </w:tc>
        <w:tc>
          <w:tcPr>
            <w:tcW w:w="951" w:type="dxa"/>
            <w:vAlign w:val="center"/>
          </w:tcPr>
          <w:p w14:paraId="5D07291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3282" w:type="dxa"/>
            <w:vAlign w:val="center"/>
          </w:tcPr>
          <w:p w14:paraId="6159E676">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落实应急制度，积极配合甲方需求，快速安排因自然灾害、重大活动等情况引起的养护应急工作；设备、人员等及时到位，措施应对迅速、有效。</w:t>
            </w:r>
          </w:p>
        </w:tc>
        <w:tc>
          <w:tcPr>
            <w:tcW w:w="2805" w:type="dxa"/>
            <w:vAlign w:val="center"/>
          </w:tcPr>
          <w:p w14:paraId="4DEC7744">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应急工作未配合甲方，或甲方催促后仍未配合，扣2 分/处；开展应急工作的设备、人员等未及时到位，或措施不达标，扣 2分/次；</w:t>
            </w:r>
          </w:p>
        </w:tc>
      </w:tr>
      <w:tr w14:paraId="7F5F5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20A9DBC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restart"/>
            <w:vAlign w:val="center"/>
          </w:tcPr>
          <w:p w14:paraId="3EB0694F">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台账记录</w:t>
            </w:r>
          </w:p>
        </w:tc>
        <w:tc>
          <w:tcPr>
            <w:tcW w:w="633" w:type="dxa"/>
            <w:vAlign w:val="center"/>
          </w:tcPr>
          <w:p w14:paraId="677671C0">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33</w:t>
            </w:r>
          </w:p>
        </w:tc>
        <w:tc>
          <w:tcPr>
            <w:tcW w:w="1203" w:type="dxa"/>
            <w:vAlign w:val="center"/>
          </w:tcPr>
          <w:p w14:paraId="5999684F">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台账记录</w:t>
            </w:r>
          </w:p>
        </w:tc>
        <w:tc>
          <w:tcPr>
            <w:tcW w:w="951" w:type="dxa"/>
            <w:vAlign w:val="center"/>
          </w:tcPr>
          <w:p w14:paraId="0602148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282" w:type="dxa"/>
            <w:vAlign w:val="center"/>
          </w:tcPr>
          <w:p w14:paraId="4E4B79C4">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管护组织制度健全，工作有台帐，记录完整，内容详实并及时上报。</w:t>
            </w:r>
          </w:p>
        </w:tc>
        <w:tc>
          <w:tcPr>
            <w:tcW w:w="2805" w:type="dxa"/>
            <w:vAlign w:val="center"/>
          </w:tcPr>
          <w:p w14:paraId="63F77B9A">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管护小结及记录不及时，内容不全，每次扣 1分；无管护台帐，不得分。无养护计划，现场管理乱，发现一次扣 1 分，</w:t>
            </w:r>
          </w:p>
        </w:tc>
      </w:tr>
      <w:tr w14:paraId="70C27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738156A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225603B9">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160D7F18">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34</w:t>
            </w:r>
          </w:p>
        </w:tc>
        <w:tc>
          <w:tcPr>
            <w:tcW w:w="1203" w:type="dxa"/>
            <w:vAlign w:val="center"/>
          </w:tcPr>
          <w:p w14:paraId="36D32BA4">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统一穿着安全警示服装、标志上岗</w:t>
            </w:r>
          </w:p>
        </w:tc>
        <w:tc>
          <w:tcPr>
            <w:tcW w:w="951" w:type="dxa"/>
            <w:vAlign w:val="center"/>
          </w:tcPr>
          <w:p w14:paraId="21383E3D">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282" w:type="dxa"/>
            <w:vAlign w:val="center"/>
          </w:tcPr>
          <w:p w14:paraId="4CDFF25A">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统一穿着安全警示服装、标志上岗，严格按安全生产操作流程组织作业，养护管理规范。</w:t>
            </w:r>
          </w:p>
        </w:tc>
        <w:tc>
          <w:tcPr>
            <w:tcW w:w="2805" w:type="dxa"/>
            <w:vAlign w:val="center"/>
          </w:tcPr>
          <w:p w14:paraId="2485F64D">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管护工人不穿着安全警示服装每次每人扣 0.5分，不按要求安全作业，不得分。</w:t>
            </w:r>
          </w:p>
        </w:tc>
      </w:tr>
      <w:tr w14:paraId="0733F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714536D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Align w:val="center"/>
          </w:tcPr>
          <w:p w14:paraId="3D415C5A">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资料送达</w:t>
            </w:r>
          </w:p>
        </w:tc>
        <w:tc>
          <w:tcPr>
            <w:tcW w:w="633" w:type="dxa"/>
            <w:vAlign w:val="center"/>
          </w:tcPr>
          <w:p w14:paraId="3F233F3E">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35</w:t>
            </w:r>
          </w:p>
        </w:tc>
        <w:tc>
          <w:tcPr>
            <w:tcW w:w="1203" w:type="dxa"/>
            <w:vAlign w:val="center"/>
          </w:tcPr>
          <w:p w14:paraId="7B079F1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参加会议、活动等情况</w:t>
            </w:r>
          </w:p>
        </w:tc>
        <w:tc>
          <w:tcPr>
            <w:tcW w:w="951" w:type="dxa"/>
            <w:vAlign w:val="center"/>
          </w:tcPr>
          <w:p w14:paraId="51864A5D">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282" w:type="dxa"/>
            <w:vAlign w:val="center"/>
          </w:tcPr>
          <w:p w14:paraId="6938C56B">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按要求准时参加会议、活动及各类业务培训。</w:t>
            </w:r>
          </w:p>
        </w:tc>
        <w:tc>
          <w:tcPr>
            <w:tcW w:w="2805" w:type="dxa"/>
            <w:vAlign w:val="center"/>
          </w:tcPr>
          <w:p w14:paraId="1D2FE704">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管护例会迟到一次扣 0.5分；无故缺席一次扣 1分；无故替开会一次扣 0.5</w:t>
            </w:r>
            <w:r>
              <w:rPr>
                <w:rFonts w:hint="eastAsia" w:ascii="宋体" w:hAnsi="宋体" w:eastAsia="宋体" w:cs="宋体"/>
                <w:spacing w:val="0"/>
                <w:sz w:val="21"/>
                <w:szCs w:val="21"/>
                <w:lang w:val="en-US" w:eastAsia="zh-CN"/>
              </w:rPr>
              <w:t>分。</w:t>
            </w:r>
          </w:p>
        </w:tc>
      </w:tr>
      <w:tr w14:paraId="61C56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55762881">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restart"/>
            <w:vAlign w:val="center"/>
          </w:tcPr>
          <w:p w14:paraId="499C2CF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其它</w:t>
            </w:r>
          </w:p>
        </w:tc>
        <w:tc>
          <w:tcPr>
            <w:tcW w:w="633" w:type="dxa"/>
            <w:vAlign w:val="center"/>
          </w:tcPr>
          <w:p w14:paraId="610CCAB4">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36</w:t>
            </w:r>
          </w:p>
        </w:tc>
        <w:tc>
          <w:tcPr>
            <w:tcW w:w="1203" w:type="dxa"/>
            <w:vAlign w:val="center"/>
          </w:tcPr>
          <w:p w14:paraId="1323994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临时性、突击性任务及12345等反映的管护存在问题</w:t>
            </w:r>
          </w:p>
        </w:tc>
        <w:tc>
          <w:tcPr>
            <w:tcW w:w="951" w:type="dxa"/>
            <w:vAlign w:val="center"/>
          </w:tcPr>
          <w:p w14:paraId="1894DF4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282" w:type="dxa"/>
            <w:vAlign w:val="center"/>
          </w:tcPr>
          <w:p w14:paraId="2CC5421D">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核实并及时处理 12345便民服务、数字化城管等相关部门、群众、居民反映的养护问题以及甲方派发的其他临时突击的养护工作内容。</w:t>
            </w:r>
          </w:p>
        </w:tc>
        <w:tc>
          <w:tcPr>
            <w:tcW w:w="2805" w:type="dxa"/>
            <w:vAlign w:val="center"/>
          </w:tcPr>
          <w:p w14:paraId="78B11AA9">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12345 便民服务、市民来电投诉处理反馈不及时的扣0.5 分/次，甲方派发的其他临时性、突击性任务执行不力的扣 2 分/次。</w:t>
            </w:r>
          </w:p>
        </w:tc>
      </w:tr>
      <w:tr w14:paraId="2A039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73" w:type="dxa"/>
            <w:vMerge w:val="continue"/>
            <w:vAlign w:val="center"/>
          </w:tcPr>
          <w:p w14:paraId="6B18A2B2">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1141" w:type="dxa"/>
            <w:vMerge w:val="continue"/>
            <w:vAlign w:val="center"/>
          </w:tcPr>
          <w:p w14:paraId="2CD8BADC">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p>
        </w:tc>
        <w:tc>
          <w:tcPr>
            <w:tcW w:w="633" w:type="dxa"/>
            <w:vAlign w:val="center"/>
          </w:tcPr>
          <w:p w14:paraId="2F5A6B0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37</w:t>
            </w:r>
          </w:p>
        </w:tc>
        <w:tc>
          <w:tcPr>
            <w:tcW w:w="1203" w:type="dxa"/>
            <w:vAlign w:val="center"/>
          </w:tcPr>
          <w:p w14:paraId="198D1BC6">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养护管理负责人回复说明情况</w:t>
            </w:r>
          </w:p>
        </w:tc>
        <w:tc>
          <w:tcPr>
            <w:tcW w:w="951" w:type="dxa"/>
            <w:vAlign w:val="center"/>
          </w:tcPr>
          <w:p w14:paraId="42A700FF">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282" w:type="dxa"/>
            <w:vAlign w:val="center"/>
          </w:tcPr>
          <w:p w14:paraId="0E3C6705">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养护管理负责人到位，通讯畅通，工作群各类通知说明及时收取、回复。</w:t>
            </w:r>
          </w:p>
        </w:tc>
        <w:tc>
          <w:tcPr>
            <w:tcW w:w="2805" w:type="dxa"/>
            <w:vAlign w:val="center"/>
          </w:tcPr>
          <w:p w14:paraId="676EFF42">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pacing w:val="0"/>
                <w:sz w:val="21"/>
                <w:szCs w:val="21"/>
              </w:rPr>
            </w:pPr>
            <w:r>
              <w:rPr>
                <w:rFonts w:hint="eastAsia" w:ascii="宋体" w:hAnsi="宋体" w:eastAsia="宋体" w:cs="宋体"/>
                <w:spacing w:val="0"/>
                <w:sz w:val="21"/>
                <w:szCs w:val="21"/>
              </w:rPr>
              <w:t>养护管理责任人经常变更不明确，扣1 分；通讯不畅有一次扣 1分。</w:t>
            </w:r>
          </w:p>
        </w:tc>
      </w:tr>
      <w:tr w14:paraId="326AA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7" w:hRule="atLeast"/>
          <w:jc w:val="center"/>
        </w:trPr>
        <w:tc>
          <w:tcPr>
            <w:tcW w:w="3550" w:type="dxa"/>
            <w:gridSpan w:val="4"/>
            <w:vAlign w:val="center"/>
          </w:tcPr>
          <w:p w14:paraId="190E51A8">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小计</w:t>
            </w:r>
          </w:p>
        </w:tc>
        <w:tc>
          <w:tcPr>
            <w:tcW w:w="951" w:type="dxa"/>
            <w:vAlign w:val="center"/>
          </w:tcPr>
          <w:p w14:paraId="0A95CBE5">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21</w:t>
            </w:r>
          </w:p>
        </w:tc>
        <w:tc>
          <w:tcPr>
            <w:tcW w:w="3282" w:type="dxa"/>
            <w:vAlign w:val="center"/>
          </w:tcPr>
          <w:p w14:paraId="0DBCC827">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z w:val="21"/>
                <w:szCs w:val="21"/>
              </w:rPr>
            </w:pPr>
          </w:p>
        </w:tc>
        <w:tc>
          <w:tcPr>
            <w:tcW w:w="2805" w:type="dxa"/>
            <w:vAlign w:val="center"/>
          </w:tcPr>
          <w:p w14:paraId="5F82EAA1">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z w:val="21"/>
                <w:szCs w:val="21"/>
              </w:rPr>
            </w:pPr>
          </w:p>
        </w:tc>
      </w:tr>
      <w:tr w14:paraId="7717F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2" w:hRule="atLeast"/>
          <w:jc w:val="center"/>
        </w:trPr>
        <w:tc>
          <w:tcPr>
            <w:tcW w:w="3550" w:type="dxa"/>
            <w:gridSpan w:val="4"/>
            <w:vAlign w:val="center"/>
          </w:tcPr>
          <w:p w14:paraId="18ED868D">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分值小计</w:t>
            </w:r>
          </w:p>
        </w:tc>
        <w:tc>
          <w:tcPr>
            <w:tcW w:w="951" w:type="dxa"/>
            <w:vAlign w:val="center"/>
          </w:tcPr>
          <w:p w14:paraId="50321AB3">
            <w:pPr>
              <w:pStyle w:val="316"/>
              <w:keepNext w:val="0"/>
              <w:keepLines w:val="0"/>
              <w:pageBreakBefore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100</w:t>
            </w:r>
          </w:p>
        </w:tc>
        <w:tc>
          <w:tcPr>
            <w:tcW w:w="3282" w:type="dxa"/>
            <w:vAlign w:val="center"/>
          </w:tcPr>
          <w:p w14:paraId="39684768">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z w:val="21"/>
                <w:szCs w:val="21"/>
              </w:rPr>
            </w:pPr>
          </w:p>
        </w:tc>
        <w:tc>
          <w:tcPr>
            <w:tcW w:w="2805" w:type="dxa"/>
            <w:vAlign w:val="center"/>
          </w:tcPr>
          <w:p w14:paraId="4FD2E713">
            <w:pPr>
              <w:pStyle w:val="316"/>
              <w:keepNext w:val="0"/>
              <w:keepLines w:val="0"/>
              <w:pageBreakBefore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z w:val="21"/>
                <w:szCs w:val="21"/>
              </w:rPr>
            </w:pPr>
          </w:p>
        </w:tc>
      </w:tr>
    </w:tbl>
    <w:p w14:paraId="1DD0101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bCs/>
          <w:spacing w:val="-3"/>
          <w:sz w:val="28"/>
          <w:szCs w:val="28"/>
          <w:lang w:val="en-US" w:eastAsia="zh-CN"/>
        </w:rPr>
      </w:pPr>
    </w:p>
    <w:p w14:paraId="405EDB1C">
      <w:pPr>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附件2</w:t>
      </w:r>
    </w:p>
    <w:tbl>
      <w:tblPr>
        <w:tblStyle w:val="640"/>
        <w:tblpPr w:leftFromText="180" w:rightFromText="180" w:vertAnchor="text" w:horzAnchor="page" w:tblpXSpec="center" w:tblpY="288"/>
        <w:tblOverlap w:val="never"/>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5"/>
        <w:gridCol w:w="1746"/>
        <w:gridCol w:w="3929"/>
        <w:gridCol w:w="3345"/>
      </w:tblGrid>
      <w:tr w14:paraId="325AA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1" w:hRule="atLeast"/>
          <w:jc w:val="center"/>
        </w:trPr>
        <w:tc>
          <w:tcPr>
            <w:tcW w:w="9905" w:type="dxa"/>
            <w:gridSpan w:val="4"/>
            <w:vAlign w:val="center"/>
          </w:tcPr>
          <w:p w14:paraId="2D8D91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5"/>
                <w:sz w:val="21"/>
                <w:szCs w:val="21"/>
              </w:rPr>
            </w:pPr>
            <w:r>
              <w:rPr>
                <w:rFonts w:ascii="宋体" w:hAnsi="宋体" w:eastAsia="宋体" w:cs="宋体"/>
                <w:b/>
                <w:bCs/>
                <w:spacing w:val="-4"/>
                <w:sz w:val="24"/>
                <w:szCs w:val="24"/>
              </w:rPr>
              <w:t>月度直接扣款类</w:t>
            </w:r>
          </w:p>
        </w:tc>
      </w:tr>
      <w:tr w14:paraId="7C0B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885" w:type="dxa"/>
            <w:vAlign w:val="center"/>
          </w:tcPr>
          <w:p w14:paraId="5F7BAD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1"/>
                <w:szCs w:val="21"/>
              </w:rPr>
            </w:pPr>
            <w:r>
              <w:rPr>
                <w:rFonts w:hint="eastAsia" w:ascii="宋体" w:hAnsi="宋体" w:eastAsia="宋体" w:cs="宋体"/>
                <w:b/>
                <w:bCs/>
                <w:spacing w:val="-4"/>
                <w:sz w:val="21"/>
                <w:szCs w:val="21"/>
              </w:rPr>
              <w:t>序号</w:t>
            </w:r>
          </w:p>
        </w:tc>
        <w:tc>
          <w:tcPr>
            <w:tcW w:w="1746" w:type="dxa"/>
            <w:vAlign w:val="center"/>
          </w:tcPr>
          <w:p w14:paraId="0C0F5B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1"/>
                <w:szCs w:val="21"/>
              </w:rPr>
            </w:pPr>
            <w:r>
              <w:rPr>
                <w:rFonts w:hint="eastAsia" w:ascii="宋体" w:hAnsi="宋体" w:eastAsia="宋体" w:cs="宋体"/>
                <w:b/>
                <w:bCs/>
                <w:spacing w:val="-4"/>
                <w:sz w:val="21"/>
                <w:szCs w:val="21"/>
              </w:rPr>
              <w:t>扣款类别</w:t>
            </w:r>
          </w:p>
        </w:tc>
        <w:tc>
          <w:tcPr>
            <w:tcW w:w="3929" w:type="dxa"/>
            <w:vAlign w:val="center"/>
          </w:tcPr>
          <w:p w14:paraId="5D622A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1"/>
                <w:szCs w:val="21"/>
              </w:rPr>
            </w:pPr>
            <w:r>
              <w:rPr>
                <w:rFonts w:hint="eastAsia" w:ascii="宋体" w:hAnsi="宋体" w:eastAsia="宋体" w:cs="宋体"/>
                <w:b/>
                <w:bCs/>
                <w:spacing w:val="-4"/>
                <w:sz w:val="21"/>
                <w:szCs w:val="21"/>
              </w:rPr>
              <w:t>扣款内容</w:t>
            </w:r>
          </w:p>
        </w:tc>
        <w:tc>
          <w:tcPr>
            <w:tcW w:w="3345" w:type="dxa"/>
            <w:vAlign w:val="center"/>
          </w:tcPr>
          <w:p w14:paraId="4A1DBD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4"/>
                <w:sz w:val="21"/>
                <w:szCs w:val="21"/>
              </w:rPr>
            </w:pPr>
            <w:r>
              <w:rPr>
                <w:rFonts w:hint="eastAsia" w:ascii="宋体" w:hAnsi="宋体" w:eastAsia="宋体" w:cs="宋体"/>
                <w:b/>
                <w:bCs/>
                <w:spacing w:val="-4"/>
                <w:sz w:val="21"/>
                <w:szCs w:val="21"/>
              </w:rPr>
              <w:t>扣款金额</w:t>
            </w:r>
          </w:p>
        </w:tc>
      </w:tr>
      <w:tr w14:paraId="7E54F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9" w:hRule="atLeast"/>
          <w:jc w:val="center"/>
        </w:trPr>
        <w:tc>
          <w:tcPr>
            <w:tcW w:w="885" w:type="dxa"/>
            <w:vMerge w:val="restart"/>
            <w:vAlign w:val="center"/>
          </w:tcPr>
          <w:p w14:paraId="4CB92629">
            <w:pPr>
              <w:pStyle w:val="316"/>
              <w:spacing w:before="78" w:line="241"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746" w:type="dxa"/>
            <w:vMerge w:val="restart"/>
            <w:vAlign w:val="center"/>
          </w:tcPr>
          <w:p w14:paraId="068B8C52">
            <w:pPr>
              <w:pStyle w:val="316"/>
              <w:spacing w:before="78" w:line="244" w:lineRule="auto"/>
              <w:ind w:right="151"/>
              <w:jc w:val="center"/>
              <w:rPr>
                <w:rFonts w:hint="eastAsia" w:ascii="宋体" w:hAnsi="宋体" w:eastAsia="宋体" w:cs="宋体"/>
                <w:sz w:val="21"/>
                <w:szCs w:val="21"/>
              </w:rPr>
            </w:pPr>
            <w:r>
              <w:rPr>
                <w:rFonts w:hint="eastAsia" w:ascii="宋体" w:hAnsi="宋体" w:eastAsia="宋体" w:cs="宋体"/>
                <w:spacing w:val="-5"/>
                <w:sz w:val="21"/>
                <w:szCs w:val="21"/>
              </w:rPr>
              <w:t>安全防</w:t>
            </w:r>
            <w:r>
              <w:rPr>
                <w:rFonts w:hint="eastAsia" w:ascii="宋体" w:hAnsi="宋体" w:eastAsia="宋体" w:cs="宋体"/>
                <w:sz w:val="21"/>
                <w:szCs w:val="21"/>
              </w:rPr>
              <w:t>范</w:t>
            </w:r>
          </w:p>
        </w:tc>
        <w:tc>
          <w:tcPr>
            <w:tcW w:w="3929" w:type="dxa"/>
            <w:vAlign w:val="center"/>
          </w:tcPr>
          <w:p w14:paraId="0E6DD7D7">
            <w:pPr>
              <w:pStyle w:val="316"/>
              <w:spacing w:before="35" w:line="220" w:lineRule="auto"/>
              <w:jc w:val="center"/>
              <w:rPr>
                <w:rFonts w:hint="eastAsia" w:ascii="宋体" w:hAnsi="宋体" w:eastAsia="宋体" w:cs="宋体"/>
                <w:sz w:val="21"/>
                <w:szCs w:val="21"/>
              </w:rPr>
            </w:pPr>
            <w:r>
              <w:rPr>
                <w:rFonts w:hint="eastAsia" w:ascii="宋体" w:hAnsi="宋体" w:eastAsia="宋体" w:cs="宋体"/>
                <w:spacing w:val="-1"/>
                <w:sz w:val="21"/>
                <w:szCs w:val="21"/>
              </w:rPr>
              <w:t>作业工人安全警示服装未穿</w:t>
            </w:r>
            <w:r>
              <w:rPr>
                <w:rFonts w:hint="eastAsia" w:ascii="宋体" w:hAnsi="宋体" w:eastAsia="宋体" w:cs="宋体"/>
                <w:sz w:val="21"/>
                <w:szCs w:val="21"/>
              </w:rPr>
              <w:t>着</w:t>
            </w:r>
          </w:p>
        </w:tc>
        <w:tc>
          <w:tcPr>
            <w:tcW w:w="3345" w:type="dxa"/>
            <w:vAlign w:val="center"/>
          </w:tcPr>
          <w:p w14:paraId="52AAE3DC">
            <w:pPr>
              <w:pStyle w:val="316"/>
              <w:spacing w:before="191" w:line="220" w:lineRule="auto"/>
              <w:jc w:val="center"/>
              <w:rPr>
                <w:rFonts w:hint="eastAsia" w:ascii="宋体" w:hAnsi="宋体" w:eastAsia="宋体" w:cs="宋体"/>
                <w:sz w:val="21"/>
                <w:szCs w:val="21"/>
              </w:rPr>
            </w:pPr>
            <w:r>
              <w:rPr>
                <w:rFonts w:hint="eastAsia" w:ascii="宋体" w:hAnsi="宋体" w:eastAsia="宋体" w:cs="宋体"/>
                <w:spacing w:val="-4"/>
                <w:sz w:val="21"/>
                <w:szCs w:val="21"/>
              </w:rPr>
              <w:t>200</w:t>
            </w:r>
            <w:r>
              <w:rPr>
                <w:rFonts w:hint="eastAsia" w:ascii="宋体" w:hAnsi="宋体" w:eastAsia="宋体" w:cs="宋体"/>
                <w:spacing w:val="-49"/>
                <w:sz w:val="21"/>
                <w:szCs w:val="21"/>
              </w:rPr>
              <w:t xml:space="preserve"> </w:t>
            </w:r>
            <w:r>
              <w:rPr>
                <w:rFonts w:hint="eastAsia" w:ascii="宋体" w:hAnsi="宋体" w:eastAsia="宋体" w:cs="宋体"/>
                <w:spacing w:val="-4"/>
                <w:sz w:val="21"/>
                <w:szCs w:val="21"/>
              </w:rPr>
              <w:t>元/人</w:t>
            </w:r>
          </w:p>
        </w:tc>
      </w:tr>
      <w:tr w14:paraId="5B9D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8" w:hRule="atLeast"/>
          <w:jc w:val="center"/>
        </w:trPr>
        <w:tc>
          <w:tcPr>
            <w:tcW w:w="885" w:type="dxa"/>
            <w:vMerge w:val="continue"/>
            <w:vAlign w:val="center"/>
          </w:tcPr>
          <w:p w14:paraId="223AB9AF">
            <w:pPr>
              <w:jc w:val="center"/>
              <w:rPr>
                <w:rFonts w:hint="eastAsia" w:ascii="宋体" w:hAnsi="宋体" w:eastAsia="宋体" w:cs="宋体"/>
                <w:sz w:val="21"/>
                <w:szCs w:val="21"/>
              </w:rPr>
            </w:pPr>
          </w:p>
        </w:tc>
        <w:tc>
          <w:tcPr>
            <w:tcW w:w="1746" w:type="dxa"/>
            <w:vMerge w:val="continue"/>
            <w:vAlign w:val="center"/>
          </w:tcPr>
          <w:p w14:paraId="7A147DD9">
            <w:pPr>
              <w:jc w:val="center"/>
              <w:rPr>
                <w:rFonts w:hint="eastAsia" w:ascii="宋体" w:hAnsi="宋体" w:eastAsia="宋体" w:cs="宋体"/>
                <w:sz w:val="21"/>
                <w:szCs w:val="21"/>
              </w:rPr>
            </w:pPr>
          </w:p>
        </w:tc>
        <w:tc>
          <w:tcPr>
            <w:tcW w:w="3929" w:type="dxa"/>
            <w:vAlign w:val="center"/>
          </w:tcPr>
          <w:p w14:paraId="269008E4">
            <w:pPr>
              <w:pStyle w:val="316"/>
              <w:spacing w:before="33" w:line="220" w:lineRule="auto"/>
              <w:jc w:val="center"/>
              <w:rPr>
                <w:rFonts w:hint="eastAsia" w:ascii="宋体" w:hAnsi="宋体" w:eastAsia="宋体" w:cs="宋体"/>
                <w:sz w:val="21"/>
                <w:szCs w:val="21"/>
              </w:rPr>
            </w:pPr>
            <w:r>
              <w:rPr>
                <w:rFonts w:hint="eastAsia" w:ascii="宋体" w:hAnsi="宋体" w:eastAsia="宋体" w:cs="宋体"/>
                <w:spacing w:val="-1"/>
                <w:sz w:val="21"/>
                <w:szCs w:val="21"/>
              </w:rPr>
              <w:t>道路中央隔离带作业安全警示锥未放置或放置不合要求</w:t>
            </w:r>
            <w:r>
              <w:rPr>
                <w:rFonts w:hint="eastAsia" w:ascii="宋体" w:hAnsi="宋体" w:eastAsia="宋体" w:cs="宋体"/>
                <w:spacing w:val="-5"/>
                <w:sz w:val="21"/>
                <w:szCs w:val="21"/>
              </w:rPr>
              <w:t>（200</w:t>
            </w:r>
            <w:r>
              <w:rPr>
                <w:rFonts w:hint="eastAsia" w:ascii="宋体" w:hAnsi="宋体" w:eastAsia="宋体" w:cs="宋体"/>
                <w:spacing w:val="-51"/>
                <w:sz w:val="21"/>
                <w:szCs w:val="21"/>
              </w:rPr>
              <w:t xml:space="preserve"> </w:t>
            </w:r>
            <w:r>
              <w:rPr>
                <w:rFonts w:hint="eastAsia" w:ascii="宋体" w:hAnsi="宋体" w:eastAsia="宋体" w:cs="宋体"/>
                <w:spacing w:val="-5"/>
                <w:sz w:val="21"/>
                <w:szCs w:val="21"/>
              </w:rPr>
              <w:t>米）</w:t>
            </w:r>
          </w:p>
        </w:tc>
        <w:tc>
          <w:tcPr>
            <w:tcW w:w="3345" w:type="dxa"/>
            <w:vAlign w:val="center"/>
          </w:tcPr>
          <w:p w14:paraId="40E9CFF5">
            <w:pPr>
              <w:pStyle w:val="316"/>
              <w:spacing w:before="78" w:line="220" w:lineRule="auto"/>
              <w:jc w:val="center"/>
              <w:rPr>
                <w:rFonts w:hint="eastAsia" w:ascii="宋体" w:hAnsi="宋体" w:eastAsia="宋体" w:cs="宋体"/>
                <w:sz w:val="21"/>
                <w:szCs w:val="21"/>
              </w:rPr>
            </w:pPr>
            <w:r>
              <w:rPr>
                <w:rFonts w:hint="eastAsia" w:ascii="宋体" w:hAnsi="宋体" w:eastAsia="宋体" w:cs="宋体"/>
                <w:spacing w:val="-3"/>
                <w:sz w:val="21"/>
                <w:szCs w:val="21"/>
              </w:rPr>
              <w:t>4000</w:t>
            </w:r>
            <w:r>
              <w:rPr>
                <w:rFonts w:hint="eastAsia" w:ascii="宋体" w:hAnsi="宋体" w:eastAsia="宋体" w:cs="宋体"/>
                <w:spacing w:val="-48"/>
                <w:sz w:val="21"/>
                <w:szCs w:val="21"/>
              </w:rPr>
              <w:t xml:space="preserve"> </w:t>
            </w:r>
            <w:r>
              <w:rPr>
                <w:rFonts w:hint="eastAsia" w:ascii="宋体" w:hAnsi="宋体" w:eastAsia="宋体" w:cs="宋体"/>
                <w:spacing w:val="-3"/>
                <w:sz w:val="21"/>
                <w:szCs w:val="21"/>
              </w:rPr>
              <w:t>元/次</w:t>
            </w:r>
          </w:p>
        </w:tc>
      </w:tr>
      <w:tr w14:paraId="0A27C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6" w:hRule="atLeast"/>
          <w:jc w:val="center"/>
        </w:trPr>
        <w:tc>
          <w:tcPr>
            <w:tcW w:w="885" w:type="dxa"/>
            <w:vMerge w:val="continue"/>
            <w:vAlign w:val="center"/>
          </w:tcPr>
          <w:p w14:paraId="1DEE7432">
            <w:pPr>
              <w:jc w:val="center"/>
              <w:rPr>
                <w:rFonts w:hint="eastAsia" w:ascii="宋体" w:hAnsi="宋体" w:eastAsia="宋体" w:cs="宋体"/>
                <w:sz w:val="21"/>
                <w:szCs w:val="21"/>
              </w:rPr>
            </w:pPr>
          </w:p>
        </w:tc>
        <w:tc>
          <w:tcPr>
            <w:tcW w:w="1746" w:type="dxa"/>
            <w:vMerge w:val="continue"/>
            <w:vAlign w:val="center"/>
          </w:tcPr>
          <w:p w14:paraId="56936AF4">
            <w:pPr>
              <w:jc w:val="center"/>
              <w:rPr>
                <w:rFonts w:hint="eastAsia" w:ascii="宋体" w:hAnsi="宋体" w:eastAsia="宋体" w:cs="宋体"/>
                <w:sz w:val="21"/>
                <w:szCs w:val="21"/>
              </w:rPr>
            </w:pPr>
          </w:p>
        </w:tc>
        <w:tc>
          <w:tcPr>
            <w:tcW w:w="3929" w:type="dxa"/>
            <w:vAlign w:val="center"/>
          </w:tcPr>
          <w:p w14:paraId="5F5F09AC">
            <w:pPr>
              <w:pStyle w:val="316"/>
              <w:spacing w:before="36" w:line="223" w:lineRule="auto"/>
              <w:ind w:right="219"/>
              <w:jc w:val="center"/>
              <w:rPr>
                <w:rFonts w:hint="eastAsia" w:ascii="宋体" w:hAnsi="宋体" w:eastAsia="宋体" w:cs="宋体"/>
                <w:sz w:val="21"/>
                <w:szCs w:val="21"/>
              </w:rPr>
            </w:pPr>
            <w:r>
              <w:rPr>
                <w:rFonts w:hint="eastAsia" w:ascii="宋体" w:hAnsi="宋体" w:eastAsia="宋体" w:cs="宋体"/>
                <w:spacing w:val="-1"/>
                <w:sz w:val="21"/>
                <w:szCs w:val="21"/>
              </w:rPr>
              <w:t>养护工人车辆乱停放在快车</w:t>
            </w:r>
            <w:r>
              <w:rPr>
                <w:rFonts w:hint="eastAsia" w:ascii="宋体" w:hAnsi="宋体" w:eastAsia="宋体" w:cs="宋体"/>
                <w:spacing w:val="-2"/>
                <w:sz w:val="21"/>
                <w:szCs w:val="21"/>
              </w:rPr>
              <w:t>道（不在警示锥放置区域）</w:t>
            </w:r>
          </w:p>
        </w:tc>
        <w:tc>
          <w:tcPr>
            <w:tcW w:w="3345" w:type="dxa"/>
            <w:vAlign w:val="center"/>
          </w:tcPr>
          <w:p w14:paraId="4D921812">
            <w:pPr>
              <w:pStyle w:val="316"/>
              <w:spacing w:before="191" w:line="220" w:lineRule="auto"/>
              <w:jc w:val="center"/>
              <w:rPr>
                <w:rFonts w:hint="eastAsia" w:ascii="宋体" w:hAnsi="宋体" w:eastAsia="宋体" w:cs="宋体"/>
                <w:sz w:val="21"/>
                <w:szCs w:val="21"/>
              </w:rPr>
            </w:pPr>
            <w:r>
              <w:rPr>
                <w:rFonts w:hint="eastAsia" w:ascii="宋体" w:hAnsi="宋体" w:eastAsia="宋体" w:cs="宋体"/>
                <w:spacing w:val="-4"/>
                <w:sz w:val="21"/>
                <w:szCs w:val="21"/>
              </w:rPr>
              <w:t>200</w:t>
            </w:r>
            <w:r>
              <w:rPr>
                <w:rFonts w:hint="eastAsia" w:ascii="宋体" w:hAnsi="宋体" w:eastAsia="宋体" w:cs="宋体"/>
                <w:spacing w:val="-49"/>
                <w:sz w:val="21"/>
                <w:szCs w:val="21"/>
              </w:rPr>
              <w:t xml:space="preserve"> </w:t>
            </w:r>
            <w:r>
              <w:rPr>
                <w:rFonts w:hint="eastAsia" w:ascii="宋体" w:hAnsi="宋体" w:eastAsia="宋体" w:cs="宋体"/>
                <w:spacing w:val="-4"/>
                <w:sz w:val="21"/>
                <w:szCs w:val="21"/>
              </w:rPr>
              <w:t>元/辆</w:t>
            </w:r>
          </w:p>
        </w:tc>
      </w:tr>
      <w:tr w14:paraId="55C9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9" w:hRule="atLeast"/>
          <w:jc w:val="center"/>
        </w:trPr>
        <w:tc>
          <w:tcPr>
            <w:tcW w:w="885" w:type="dxa"/>
            <w:vMerge w:val="continue"/>
            <w:vAlign w:val="center"/>
          </w:tcPr>
          <w:p w14:paraId="0D12218D">
            <w:pPr>
              <w:jc w:val="center"/>
              <w:rPr>
                <w:rFonts w:hint="eastAsia" w:ascii="宋体" w:hAnsi="宋体" w:eastAsia="宋体" w:cs="宋体"/>
                <w:sz w:val="21"/>
                <w:szCs w:val="21"/>
              </w:rPr>
            </w:pPr>
          </w:p>
        </w:tc>
        <w:tc>
          <w:tcPr>
            <w:tcW w:w="1746" w:type="dxa"/>
            <w:vMerge w:val="continue"/>
            <w:vAlign w:val="center"/>
          </w:tcPr>
          <w:p w14:paraId="6FB2A3CE">
            <w:pPr>
              <w:jc w:val="center"/>
              <w:rPr>
                <w:rFonts w:hint="eastAsia" w:ascii="宋体" w:hAnsi="宋体" w:eastAsia="宋体" w:cs="宋体"/>
                <w:sz w:val="21"/>
                <w:szCs w:val="21"/>
              </w:rPr>
            </w:pPr>
          </w:p>
        </w:tc>
        <w:tc>
          <w:tcPr>
            <w:tcW w:w="3929" w:type="dxa"/>
            <w:vAlign w:val="center"/>
          </w:tcPr>
          <w:p w14:paraId="52960283">
            <w:pPr>
              <w:pStyle w:val="316"/>
              <w:spacing w:before="41" w:line="222" w:lineRule="auto"/>
              <w:ind w:right="219"/>
              <w:jc w:val="center"/>
              <w:rPr>
                <w:rFonts w:hint="eastAsia" w:ascii="宋体" w:hAnsi="宋体" w:eastAsia="宋体" w:cs="宋体"/>
                <w:sz w:val="21"/>
                <w:szCs w:val="21"/>
              </w:rPr>
            </w:pPr>
            <w:r>
              <w:rPr>
                <w:rFonts w:hint="eastAsia" w:ascii="宋体" w:hAnsi="宋体" w:eastAsia="宋体" w:cs="宋体"/>
                <w:spacing w:val="-2"/>
                <w:sz w:val="21"/>
                <w:szCs w:val="21"/>
              </w:rPr>
              <w:t>正常养护作业期间现场管理不到位发生人员伤亡事故</w:t>
            </w:r>
          </w:p>
        </w:tc>
        <w:tc>
          <w:tcPr>
            <w:tcW w:w="3345" w:type="dxa"/>
            <w:vAlign w:val="center"/>
          </w:tcPr>
          <w:p w14:paraId="13D3D044">
            <w:pPr>
              <w:pStyle w:val="316"/>
              <w:spacing w:before="196" w:line="220" w:lineRule="auto"/>
              <w:jc w:val="center"/>
              <w:rPr>
                <w:rFonts w:hint="eastAsia" w:ascii="宋体" w:hAnsi="宋体" w:eastAsia="宋体" w:cs="宋体"/>
                <w:sz w:val="21"/>
                <w:szCs w:val="21"/>
              </w:rPr>
            </w:pPr>
            <w:r>
              <w:rPr>
                <w:rFonts w:hint="eastAsia" w:ascii="宋体" w:hAnsi="宋体" w:eastAsia="宋体" w:cs="宋体"/>
                <w:spacing w:val="-4"/>
                <w:sz w:val="21"/>
                <w:szCs w:val="21"/>
              </w:rPr>
              <w:t>8000</w:t>
            </w:r>
            <w:r>
              <w:rPr>
                <w:rFonts w:hint="eastAsia" w:ascii="宋体" w:hAnsi="宋体" w:eastAsia="宋体" w:cs="宋体"/>
                <w:spacing w:val="-43"/>
                <w:sz w:val="21"/>
                <w:szCs w:val="21"/>
              </w:rPr>
              <w:t xml:space="preserve"> </w:t>
            </w:r>
            <w:r>
              <w:rPr>
                <w:rFonts w:hint="eastAsia" w:ascii="宋体" w:hAnsi="宋体" w:eastAsia="宋体" w:cs="宋体"/>
                <w:spacing w:val="-4"/>
                <w:sz w:val="21"/>
                <w:szCs w:val="21"/>
              </w:rPr>
              <w:t>元/次</w:t>
            </w:r>
          </w:p>
        </w:tc>
      </w:tr>
      <w:tr w14:paraId="7464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jc w:val="center"/>
        </w:trPr>
        <w:tc>
          <w:tcPr>
            <w:tcW w:w="885" w:type="dxa"/>
            <w:vAlign w:val="center"/>
          </w:tcPr>
          <w:p w14:paraId="4F3C6E65">
            <w:pPr>
              <w:pStyle w:val="316"/>
              <w:spacing w:before="78" w:line="241"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1746" w:type="dxa"/>
            <w:vAlign w:val="center"/>
          </w:tcPr>
          <w:p w14:paraId="0D94365A">
            <w:pPr>
              <w:pStyle w:val="316"/>
              <w:spacing w:before="78" w:line="241" w:lineRule="auto"/>
              <w:jc w:val="center"/>
              <w:rPr>
                <w:rFonts w:hint="eastAsia" w:ascii="宋体" w:hAnsi="宋体" w:eastAsia="宋体" w:cs="宋体"/>
                <w:sz w:val="21"/>
                <w:szCs w:val="21"/>
              </w:rPr>
            </w:pPr>
            <w:r>
              <w:rPr>
                <w:rFonts w:hint="eastAsia" w:ascii="宋体" w:hAnsi="宋体" w:eastAsia="宋体" w:cs="宋体"/>
                <w:sz w:val="21"/>
                <w:szCs w:val="21"/>
              </w:rPr>
              <w:t>会议纪律</w:t>
            </w:r>
          </w:p>
        </w:tc>
        <w:tc>
          <w:tcPr>
            <w:tcW w:w="3929" w:type="dxa"/>
            <w:vAlign w:val="center"/>
          </w:tcPr>
          <w:p w14:paraId="2C3ED613">
            <w:pPr>
              <w:pStyle w:val="316"/>
              <w:spacing w:before="40" w:line="219" w:lineRule="auto"/>
              <w:jc w:val="center"/>
              <w:rPr>
                <w:rFonts w:hint="eastAsia" w:ascii="宋体" w:hAnsi="宋体" w:eastAsia="宋体" w:cs="宋体"/>
                <w:sz w:val="21"/>
                <w:szCs w:val="21"/>
              </w:rPr>
            </w:pPr>
            <w:r>
              <w:rPr>
                <w:rFonts w:hint="eastAsia" w:ascii="宋体" w:hAnsi="宋体" w:eastAsia="宋体" w:cs="宋体"/>
                <w:spacing w:val="-2"/>
                <w:sz w:val="21"/>
                <w:szCs w:val="21"/>
              </w:rPr>
              <w:t>养护会议迟到及无故缺席、替</w:t>
            </w:r>
            <w:r>
              <w:rPr>
                <w:rFonts w:hint="eastAsia" w:ascii="宋体" w:hAnsi="宋体" w:eastAsia="宋体" w:cs="宋体"/>
                <w:spacing w:val="-3"/>
                <w:sz w:val="21"/>
                <w:szCs w:val="21"/>
              </w:rPr>
              <w:t>开会</w:t>
            </w:r>
          </w:p>
        </w:tc>
        <w:tc>
          <w:tcPr>
            <w:tcW w:w="3345" w:type="dxa"/>
            <w:vAlign w:val="center"/>
          </w:tcPr>
          <w:p w14:paraId="7E9295FF">
            <w:pPr>
              <w:pStyle w:val="316"/>
              <w:spacing w:before="40" w:line="219" w:lineRule="auto"/>
              <w:jc w:val="center"/>
              <w:rPr>
                <w:rFonts w:hint="eastAsia" w:ascii="宋体" w:hAnsi="宋体" w:eastAsia="宋体" w:cs="宋体"/>
                <w:sz w:val="21"/>
                <w:szCs w:val="21"/>
              </w:rPr>
            </w:pPr>
            <w:r>
              <w:rPr>
                <w:rFonts w:hint="eastAsia" w:ascii="宋体" w:hAnsi="宋体" w:eastAsia="宋体" w:cs="宋体"/>
                <w:spacing w:val="-3"/>
                <w:sz w:val="21"/>
                <w:szCs w:val="21"/>
              </w:rPr>
              <w:t>无故缺席</w:t>
            </w:r>
            <w:r>
              <w:rPr>
                <w:rFonts w:hint="eastAsia" w:ascii="宋体" w:hAnsi="宋体" w:eastAsia="宋体" w:cs="宋体"/>
                <w:spacing w:val="-42"/>
                <w:sz w:val="21"/>
                <w:szCs w:val="21"/>
              </w:rPr>
              <w:t xml:space="preserve"> </w:t>
            </w:r>
            <w:r>
              <w:rPr>
                <w:rFonts w:hint="eastAsia" w:ascii="宋体" w:hAnsi="宋体" w:eastAsia="宋体" w:cs="宋体"/>
                <w:spacing w:val="-3"/>
                <w:sz w:val="21"/>
                <w:szCs w:val="21"/>
              </w:rPr>
              <w:t>500</w:t>
            </w:r>
            <w:r>
              <w:rPr>
                <w:rFonts w:hint="eastAsia" w:ascii="宋体" w:hAnsi="宋体" w:eastAsia="宋体" w:cs="宋体"/>
                <w:spacing w:val="-48"/>
                <w:sz w:val="21"/>
                <w:szCs w:val="21"/>
              </w:rPr>
              <w:t xml:space="preserve"> </w:t>
            </w:r>
            <w:r>
              <w:rPr>
                <w:rFonts w:hint="eastAsia" w:ascii="宋体" w:hAnsi="宋体" w:eastAsia="宋体" w:cs="宋体"/>
                <w:spacing w:val="-3"/>
                <w:sz w:val="21"/>
                <w:szCs w:val="21"/>
              </w:rPr>
              <w:t>元/次，替开会</w:t>
            </w:r>
            <w:r>
              <w:rPr>
                <w:rFonts w:hint="eastAsia" w:ascii="宋体" w:hAnsi="宋体" w:eastAsia="宋体" w:cs="宋体"/>
                <w:spacing w:val="-5"/>
                <w:sz w:val="21"/>
                <w:szCs w:val="21"/>
              </w:rPr>
              <w:t>300</w:t>
            </w:r>
            <w:r>
              <w:rPr>
                <w:rFonts w:hint="eastAsia" w:ascii="宋体" w:hAnsi="宋体" w:eastAsia="宋体" w:cs="宋体"/>
                <w:spacing w:val="-45"/>
                <w:sz w:val="21"/>
                <w:szCs w:val="21"/>
              </w:rPr>
              <w:t xml:space="preserve"> </w:t>
            </w:r>
            <w:r>
              <w:rPr>
                <w:rFonts w:hint="eastAsia" w:ascii="宋体" w:hAnsi="宋体" w:eastAsia="宋体" w:cs="宋体"/>
                <w:spacing w:val="-5"/>
                <w:sz w:val="21"/>
                <w:szCs w:val="21"/>
              </w:rPr>
              <w:t>元/次</w:t>
            </w:r>
          </w:p>
        </w:tc>
      </w:tr>
      <w:tr w14:paraId="191E3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77" w:hRule="atLeast"/>
          <w:jc w:val="center"/>
        </w:trPr>
        <w:tc>
          <w:tcPr>
            <w:tcW w:w="885" w:type="dxa"/>
            <w:vAlign w:val="center"/>
          </w:tcPr>
          <w:p w14:paraId="47E94DD3">
            <w:pPr>
              <w:pStyle w:val="316"/>
              <w:spacing w:before="78" w:line="241"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1746" w:type="dxa"/>
            <w:vAlign w:val="center"/>
          </w:tcPr>
          <w:p w14:paraId="4D1E65E5">
            <w:pPr>
              <w:pStyle w:val="316"/>
              <w:spacing w:before="78" w:line="241" w:lineRule="auto"/>
              <w:jc w:val="center"/>
              <w:rPr>
                <w:rFonts w:hint="eastAsia" w:ascii="宋体" w:hAnsi="宋体" w:eastAsia="宋体" w:cs="宋体"/>
                <w:sz w:val="21"/>
                <w:szCs w:val="21"/>
              </w:rPr>
            </w:pPr>
            <w:r>
              <w:rPr>
                <w:rFonts w:hint="eastAsia" w:ascii="宋体" w:hAnsi="宋体" w:eastAsia="宋体" w:cs="宋体"/>
                <w:sz w:val="21"/>
                <w:szCs w:val="21"/>
              </w:rPr>
              <w:t>违禁行为</w:t>
            </w:r>
          </w:p>
        </w:tc>
        <w:tc>
          <w:tcPr>
            <w:tcW w:w="3929" w:type="dxa"/>
            <w:vAlign w:val="center"/>
          </w:tcPr>
          <w:p w14:paraId="7AE5C848">
            <w:pPr>
              <w:pStyle w:val="316"/>
              <w:spacing w:before="41" w:line="219" w:lineRule="auto"/>
              <w:jc w:val="center"/>
              <w:rPr>
                <w:rFonts w:hint="eastAsia" w:ascii="宋体" w:hAnsi="宋体" w:eastAsia="宋体" w:cs="宋体"/>
                <w:sz w:val="21"/>
                <w:szCs w:val="21"/>
              </w:rPr>
            </w:pPr>
            <w:r>
              <w:rPr>
                <w:rFonts w:hint="eastAsia" w:ascii="宋体" w:hAnsi="宋体" w:eastAsia="宋体" w:cs="宋体"/>
                <w:spacing w:val="-1"/>
                <w:sz w:val="21"/>
                <w:szCs w:val="21"/>
              </w:rPr>
              <w:t>生长季节滥用除草剂引起小</w:t>
            </w:r>
            <w:r>
              <w:rPr>
                <w:rFonts w:hint="eastAsia" w:ascii="宋体" w:hAnsi="宋体" w:eastAsia="宋体" w:cs="宋体"/>
                <w:spacing w:val="-3"/>
                <w:sz w:val="21"/>
                <w:szCs w:val="21"/>
              </w:rPr>
              <w:t>灌木、地被成片枯黄达</w:t>
            </w:r>
            <w:r>
              <w:rPr>
                <w:rFonts w:hint="eastAsia" w:ascii="宋体" w:hAnsi="宋体" w:eastAsia="宋体" w:cs="宋体"/>
                <w:spacing w:val="-34"/>
                <w:sz w:val="21"/>
                <w:szCs w:val="21"/>
              </w:rPr>
              <w:t xml:space="preserve"> </w:t>
            </w:r>
            <w:r>
              <w:rPr>
                <w:rFonts w:hint="eastAsia" w:ascii="宋体" w:hAnsi="宋体" w:eastAsia="宋体" w:cs="宋体"/>
                <w:spacing w:val="-3"/>
                <w:sz w:val="21"/>
                <w:szCs w:val="21"/>
              </w:rPr>
              <w:t>50</w:t>
            </w:r>
            <w:r>
              <w:rPr>
                <w:rFonts w:hint="eastAsia" w:ascii="宋体" w:hAnsi="宋体" w:eastAsia="宋体" w:cs="宋体"/>
                <w:spacing w:val="-52"/>
                <w:sz w:val="21"/>
                <w:szCs w:val="21"/>
              </w:rPr>
              <w:t xml:space="preserve"> </w:t>
            </w:r>
            <w:r>
              <w:rPr>
                <w:rFonts w:hint="eastAsia" w:ascii="宋体" w:hAnsi="宋体" w:eastAsia="宋体" w:cs="宋体"/>
                <w:spacing w:val="-3"/>
                <w:sz w:val="21"/>
                <w:szCs w:val="21"/>
              </w:rPr>
              <w:t>平</w:t>
            </w:r>
            <w:r>
              <w:rPr>
                <w:rFonts w:hint="eastAsia" w:ascii="宋体" w:hAnsi="宋体" w:eastAsia="宋体" w:cs="宋体"/>
                <w:spacing w:val="-1"/>
                <w:sz w:val="21"/>
                <w:szCs w:val="21"/>
              </w:rPr>
              <w:t>方米以上或林地高杆杂草未经处理直接使用除草剂引起</w:t>
            </w:r>
            <w:r>
              <w:rPr>
                <w:rFonts w:hint="eastAsia" w:ascii="宋体" w:hAnsi="宋体" w:eastAsia="宋体" w:cs="宋体"/>
                <w:spacing w:val="-2"/>
                <w:sz w:val="21"/>
                <w:szCs w:val="21"/>
              </w:rPr>
              <w:t>成片枯黄影响绿地景观</w:t>
            </w:r>
          </w:p>
        </w:tc>
        <w:tc>
          <w:tcPr>
            <w:tcW w:w="3345" w:type="dxa"/>
            <w:vAlign w:val="center"/>
          </w:tcPr>
          <w:p w14:paraId="45C1EBE2">
            <w:pPr>
              <w:pStyle w:val="316"/>
              <w:spacing w:before="78" w:line="220" w:lineRule="auto"/>
              <w:jc w:val="center"/>
              <w:rPr>
                <w:rFonts w:hint="eastAsia" w:ascii="宋体" w:hAnsi="宋体" w:eastAsia="宋体" w:cs="宋体"/>
                <w:sz w:val="21"/>
                <w:szCs w:val="21"/>
              </w:rPr>
            </w:pPr>
            <w:r>
              <w:rPr>
                <w:rFonts w:hint="eastAsia" w:ascii="宋体" w:hAnsi="宋体" w:eastAsia="宋体" w:cs="宋体"/>
                <w:spacing w:val="-4"/>
                <w:sz w:val="21"/>
                <w:szCs w:val="21"/>
              </w:rPr>
              <w:t>2000</w:t>
            </w:r>
            <w:r>
              <w:rPr>
                <w:rFonts w:hint="eastAsia" w:ascii="宋体" w:hAnsi="宋体" w:eastAsia="宋体" w:cs="宋体"/>
                <w:spacing w:val="-45"/>
                <w:sz w:val="21"/>
                <w:szCs w:val="21"/>
              </w:rPr>
              <w:t xml:space="preserve"> </w:t>
            </w:r>
            <w:r>
              <w:rPr>
                <w:rFonts w:hint="eastAsia" w:ascii="宋体" w:hAnsi="宋体" w:eastAsia="宋体" w:cs="宋体"/>
                <w:spacing w:val="-4"/>
                <w:sz w:val="21"/>
                <w:szCs w:val="21"/>
              </w:rPr>
              <w:t>元/次</w:t>
            </w:r>
          </w:p>
        </w:tc>
      </w:tr>
    </w:tbl>
    <w:p w14:paraId="0E5D604A">
      <w:pPr>
        <w:rPr>
          <w:rFonts w:hint="default" w:ascii="宋体" w:hAnsi="宋体" w:eastAsia="宋体" w:cs="宋体"/>
          <w:b/>
          <w:bCs/>
          <w:spacing w:val="-4"/>
          <w:sz w:val="24"/>
          <w:szCs w:val="24"/>
          <w:lang w:val="en-US" w:eastAsia="zh-CN"/>
        </w:rPr>
      </w:pPr>
      <w:r>
        <w:rPr>
          <w:rFonts w:hint="default" w:ascii="宋体" w:hAnsi="宋体" w:eastAsia="宋体" w:cs="宋体"/>
          <w:b/>
          <w:bCs/>
          <w:spacing w:val="-4"/>
          <w:sz w:val="24"/>
          <w:szCs w:val="24"/>
          <w:lang w:val="en-US" w:eastAsia="zh-CN"/>
        </w:rPr>
        <w:br w:type="page"/>
      </w:r>
    </w:p>
    <w:p w14:paraId="58D62A7D">
      <w:pPr>
        <w:pStyle w:val="2"/>
        <w:bidi w:val="0"/>
        <w:jc w:val="center"/>
        <w:rPr>
          <w:rFonts w:hint="eastAsia"/>
        </w:rPr>
      </w:pPr>
      <w:bookmarkStart w:id="172" w:name="_Toc23587"/>
      <w:r>
        <w:rPr>
          <w:rFonts w:hint="eastAsia"/>
          <w:lang w:val="en-US" w:eastAsia="zh-CN"/>
        </w:rPr>
        <w:t>第五章  评标方法与评标标准</w:t>
      </w:r>
      <w:bookmarkEnd w:id="172"/>
    </w:p>
    <w:p w14:paraId="43A283F8">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一、评标方法与定标原则</w:t>
      </w:r>
    </w:p>
    <w:p w14:paraId="52F2688F">
      <w:pPr>
        <w:keepNext w:val="0"/>
        <w:keepLines w:val="0"/>
        <w:pageBreakBefore w:val="0"/>
        <w:widowControl w:val="0"/>
        <w:shd w:val="clear"/>
        <w:kinsoku/>
        <w:wordWrap/>
        <w:overflowPunct/>
        <w:topLinePunct w:val="0"/>
        <w:autoSpaceDE/>
        <w:autoSpaceDN/>
        <w:bidi w:val="0"/>
        <w:adjustRightInd/>
        <w:snapToGrid/>
        <w:spacing w:line="360" w:lineRule="auto"/>
        <w:ind w:firstLine="480"/>
        <w:jc w:val="left"/>
        <w:textAlignment w:val="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lang w:bidi="ar"/>
          <w14:textFill>
            <w14:solidFill>
              <w14:schemeClr w14:val="tx1"/>
            </w14:solidFill>
          </w14:textFill>
        </w:rPr>
        <w:t>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2EB5A8D">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360" w:lineRule="auto"/>
        <w:ind w:firstLine="480"/>
        <w:contextualSpacing/>
        <w:jc w:val="left"/>
        <w:textAlignment w:val="auto"/>
        <w:rPr>
          <w:rFonts w:ascii="Times New Roman" w:hAnsi="Times New Roman" w:eastAsia="Times New Roman"/>
          <w:color w:val="000000" w:themeColor="text1"/>
          <w:spacing w:val="0"/>
          <w:szCs w:val="21"/>
          <w:highlight w:val="none"/>
          <w14:textFill>
            <w14:solidFill>
              <w14:schemeClr w14:val="tx1"/>
            </w14:solidFill>
          </w14:textFill>
        </w:rPr>
      </w:pPr>
    </w:p>
    <w:p w14:paraId="69770F07">
      <w:pPr>
        <w:pStyle w:val="15"/>
        <w:keepNext w:val="0"/>
        <w:keepLines w:val="0"/>
        <w:pageBreakBefore w:val="0"/>
        <w:widowControl w:val="0"/>
        <w:shd w:val="clear"/>
        <w:kinsoku/>
        <w:wordWrap/>
        <w:overflowPunct/>
        <w:topLinePunct w:val="0"/>
        <w:autoSpaceDE/>
        <w:autoSpaceDN/>
        <w:bidi w:val="0"/>
        <w:adjustRightInd/>
        <w:snapToGrid/>
        <w:spacing w:line="360" w:lineRule="auto"/>
        <w:ind w:firstLine="0"/>
        <w:textAlignment w:val="auto"/>
        <w:rPr>
          <w:b/>
          <w:bCs/>
          <w:color w:val="000000" w:themeColor="text1"/>
          <w:spacing w:val="0"/>
          <w:sz w:val="24"/>
          <w:szCs w:val="24"/>
          <w:highlight w:val="none"/>
          <w14:textFill>
            <w14:solidFill>
              <w14:schemeClr w14:val="tx1"/>
            </w14:solidFill>
          </w14:textFill>
        </w:rPr>
      </w:pPr>
      <w:r>
        <w:rPr>
          <w:rFonts w:hint="eastAsia" w:ascii="宋体" w:hAnsi="宋体" w:eastAsia="宋体"/>
          <w:b/>
          <w:bCs/>
          <w:color w:val="000000" w:themeColor="text1"/>
          <w:spacing w:val="0"/>
          <w:sz w:val="24"/>
          <w:szCs w:val="24"/>
          <w:highlight w:val="none"/>
          <w14:textFill>
            <w14:solidFill>
              <w14:schemeClr w14:val="tx1"/>
            </w14:solidFill>
          </w14:textFill>
        </w:rPr>
        <w:t>二、评标标准</w:t>
      </w:r>
    </w:p>
    <w:p w14:paraId="0EBC0EF8">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360" w:lineRule="auto"/>
        <w:ind w:firstLine="480"/>
        <w:contextualSpacing/>
        <w:jc w:val="left"/>
        <w:textAlignment w:val="auto"/>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color w:val="000000" w:themeColor="text1"/>
          <w:spacing w:val="0"/>
          <w:sz w:val="24"/>
          <w:szCs w:val="24"/>
          <w:highlight w:val="none"/>
          <w14:textFill>
            <w14:solidFill>
              <w14:schemeClr w14:val="tx1"/>
            </w14:solidFill>
          </w14:textFill>
        </w:rPr>
        <w:t xml:space="preserve">1 价格分 </w:t>
      </w:r>
      <w:r>
        <w:rPr>
          <w:rFonts w:hint="eastAsia" w:ascii="宋体" w:hAnsi="宋体" w:cs="宋体"/>
          <w:b/>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b/>
          <w:color w:val="000000" w:themeColor="text1"/>
          <w:spacing w:val="0"/>
          <w:sz w:val="24"/>
          <w:szCs w:val="24"/>
          <w:highlight w:val="none"/>
          <w14:textFill>
            <w14:solidFill>
              <w14:schemeClr w14:val="tx1"/>
            </w14:solidFill>
          </w14:textFill>
        </w:rPr>
        <w:t>.0 分</w:t>
      </w:r>
    </w:p>
    <w:p w14:paraId="1C4AC820">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360" w:lineRule="auto"/>
        <w:ind w:firstLine="500"/>
        <w:contextualSpacing/>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000000" w:themeColor="text1"/>
          <w:spacing w:val="0"/>
          <w:sz w:val="24"/>
          <w:szCs w:val="24"/>
          <w:highlight w:val="none"/>
          <w14:textFill>
            <w14:solidFill>
              <w14:schemeClr w14:val="tx1"/>
            </w14:solidFill>
          </w14:textFill>
        </w:rPr>
        <w:t>采用低价优先法计算，即满足招标文件要求且投标价格最低的投标价为评标基准价，其价格分为满分</w:t>
      </w:r>
      <w:r>
        <w:rPr>
          <w:rFonts w:hint="eastAsia" w:ascii="宋体" w:hAnsi="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.0分。其</w:t>
      </w:r>
      <w:r>
        <w:rPr>
          <w:rFonts w:hint="eastAsia" w:ascii="宋体" w:hAnsi="宋体" w:eastAsia="宋体" w:cs="宋体"/>
          <w:color w:val="auto"/>
          <w:spacing w:val="0"/>
          <w:sz w:val="24"/>
          <w:szCs w:val="24"/>
          <w:highlight w:val="none"/>
        </w:rPr>
        <w:t>他投标人的价格分统一按照下列公式计算：</w:t>
      </w:r>
    </w:p>
    <w:p w14:paraId="2D0F9CEE">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360" w:lineRule="auto"/>
        <w:ind w:firstLine="500"/>
        <w:contextualSpacing/>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投标报价得分=（评标基准价/投标报价）*</w:t>
      </w:r>
      <w:r>
        <w:rPr>
          <w:rFonts w:hint="eastAsia" w:ascii="宋体" w:hAnsi="宋体" w:cs="宋体"/>
          <w:color w:val="auto"/>
          <w:spacing w:val="0"/>
          <w:sz w:val="24"/>
          <w:szCs w:val="24"/>
          <w:highlight w:val="none"/>
          <w:lang w:val="en-US" w:eastAsia="zh-CN"/>
        </w:rPr>
        <w:t>30</w:t>
      </w:r>
      <w:r>
        <w:rPr>
          <w:rFonts w:hint="eastAsia" w:ascii="宋体" w:hAnsi="宋体" w:eastAsia="宋体" w:cs="宋体"/>
          <w:color w:val="auto"/>
          <w:spacing w:val="0"/>
          <w:sz w:val="24"/>
          <w:szCs w:val="24"/>
          <w:highlight w:val="none"/>
        </w:rPr>
        <w:t>.0% *100（保留二位小数）。</w:t>
      </w:r>
    </w:p>
    <w:p w14:paraId="10B62321">
      <w:pPr>
        <w:pStyle w:val="571"/>
        <w:keepNext w:val="0"/>
        <w:keepLines w:val="0"/>
        <w:pageBreakBefore w:val="0"/>
        <w:shd w:val="clear"/>
        <w:kinsoku/>
        <w:wordWrap/>
        <w:overflowPunct/>
        <w:topLinePunct w:val="0"/>
        <w:autoSpaceDE/>
        <w:autoSpaceDN/>
        <w:bidi w:val="0"/>
        <w:adjustRightInd/>
        <w:snapToGrid/>
        <w:spacing w:line="360" w:lineRule="auto"/>
        <w:ind w:firstLine="500"/>
        <w:textAlignment w:val="auto"/>
        <w:outlineLvl w:val="9"/>
        <w:rPr>
          <w:rStyle w:val="38"/>
          <w:rFonts w:hint="eastAsia" w:ascii="宋体" w:hAnsi="宋体" w:eastAsia="宋体" w:cs="宋体"/>
          <w:b/>
          <w:color w:val="auto"/>
          <w:spacing w:val="7"/>
          <w:sz w:val="24"/>
          <w:szCs w:val="24"/>
          <w:highlight w:val="none"/>
        </w:rPr>
      </w:pPr>
    </w:p>
    <w:p w14:paraId="64EC3A93">
      <w:pPr>
        <w:pStyle w:val="571"/>
        <w:keepNext w:val="0"/>
        <w:keepLines w:val="0"/>
        <w:pageBreakBefore w:val="0"/>
        <w:shd w:val="clear"/>
        <w:kinsoku/>
        <w:wordWrap/>
        <w:overflowPunct/>
        <w:topLinePunct w:val="0"/>
        <w:autoSpaceDE/>
        <w:autoSpaceDN/>
        <w:bidi w:val="0"/>
        <w:adjustRightInd/>
        <w:snapToGrid/>
        <w:spacing w:line="360" w:lineRule="auto"/>
        <w:ind w:firstLine="510" w:firstLineChars="200"/>
        <w:textAlignment w:val="auto"/>
        <w:outlineLvl w:val="9"/>
        <w:rPr>
          <w:rStyle w:val="38"/>
          <w:rFonts w:hint="eastAsia" w:ascii="宋体" w:hAnsi="宋体" w:eastAsia="宋体" w:cs="宋体"/>
          <w:b/>
          <w:color w:val="auto"/>
          <w:spacing w:val="7"/>
          <w:sz w:val="24"/>
          <w:szCs w:val="24"/>
          <w:highlight w:val="none"/>
        </w:rPr>
      </w:pPr>
      <w:r>
        <w:rPr>
          <w:rStyle w:val="38"/>
          <w:rFonts w:hint="eastAsia" w:ascii="宋体" w:hAnsi="宋体" w:eastAsia="宋体" w:cs="宋体"/>
          <w:b/>
          <w:color w:val="auto"/>
          <w:spacing w:val="7"/>
          <w:sz w:val="24"/>
          <w:szCs w:val="24"/>
          <w:highlight w:val="none"/>
        </w:rPr>
        <w:t xml:space="preserve">2 </w:t>
      </w:r>
      <w:r>
        <w:rPr>
          <w:rStyle w:val="38"/>
          <w:rFonts w:hint="eastAsia" w:ascii="宋体" w:hAnsi="宋体" w:eastAsia="宋体" w:cs="宋体"/>
          <w:b/>
          <w:color w:val="auto"/>
          <w:spacing w:val="7"/>
          <w:sz w:val="24"/>
          <w:szCs w:val="24"/>
          <w:highlight w:val="none"/>
          <w:lang w:val="en-US" w:eastAsia="zh-CN"/>
        </w:rPr>
        <w:t>服务</w:t>
      </w:r>
      <w:r>
        <w:rPr>
          <w:rStyle w:val="38"/>
          <w:rFonts w:hint="eastAsia" w:ascii="宋体" w:hAnsi="宋体" w:eastAsia="宋体" w:cs="宋体"/>
          <w:b/>
          <w:color w:val="auto"/>
          <w:spacing w:val="7"/>
          <w:sz w:val="24"/>
          <w:szCs w:val="24"/>
          <w:highlight w:val="none"/>
        </w:rPr>
        <w:t xml:space="preserve">方案 </w:t>
      </w:r>
      <w:r>
        <w:rPr>
          <w:rStyle w:val="38"/>
          <w:rFonts w:hint="eastAsia" w:ascii="宋体" w:hAnsi="宋体" w:eastAsia="宋体" w:cs="宋体"/>
          <w:b/>
          <w:color w:val="auto"/>
          <w:spacing w:val="7"/>
          <w:sz w:val="24"/>
          <w:szCs w:val="24"/>
          <w:highlight w:val="none"/>
          <w:lang w:val="en-US" w:eastAsia="zh-CN"/>
        </w:rPr>
        <w:t>57</w:t>
      </w:r>
      <w:r>
        <w:rPr>
          <w:rStyle w:val="38"/>
          <w:rFonts w:hint="eastAsia" w:ascii="宋体" w:hAnsi="宋体" w:eastAsia="宋体" w:cs="宋体"/>
          <w:b/>
          <w:color w:val="auto"/>
          <w:spacing w:val="7"/>
          <w:sz w:val="24"/>
          <w:szCs w:val="24"/>
          <w:highlight w:val="none"/>
        </w:rPr>
        <w:t>.0 分</w:t>
      </w:r>
    </w:p>
    <w:p w14:paraId="45E32558">
      <w:pPr>
        <w:keepNext w:val="0"/>
        <w:keepLines w:val="0"/>
        <w:pageBreakBefore w:val="0"/>
        <w:widowControl w:val="0"/>
        <w:kinsoku/>
        <w:wordWrap/>
        <w:overflowPunct/>
        <w:topLinePunct w:val="0"/>
        <w:autoSpaceDE/>
        <w:autoSpaceDN/>
        <w:bidi w:val="0"/>
        <w:adjustRightInd/>
        <w:snapToGrid/>
        <w:spacing w:line="360" w:lineRule="auto"/>
        <w:ind w:left="523"/>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2.1.企业养护管理制度</w:t>
      </w:r>
    </w:p>
    <w:p w14:paraId="29BB56EA">
      <w:pPr>
        <w:keepNext w:val="0"/>
        <w:keepLines w:val="0"/>
        <w:pageBreakBefore w:val="0"/>
        <w:widowControl w:val="0"/>
        <w:kinsoku/>
        <w:wordWrap/>
        <w:overflowPunct/>
        <w:topLinePunct w:val="0"/>
        <w:autoSpaceDE/>
        <w:autoSpaceDN/>
        <w:bidi w:val="0"/>
        <w:adjustRightInd/>
        <w:snapToGrid/>
        <w:spacing w:line="360" w:lineRule="auto"/>
        <w:ind w:right="5"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根据投标人提供的企业养护管理制度综合评定，包括①项目内部养护检查考核制度；②自查自纠制度；③内部考核及奖惩制度；</w:t>
      </w:r>
      <w:r>
        <w:rPr>
          <w:rFonts w:hint="eastAsia" w:ascii="宋体" w:hAnsi="宋体" w:eastAsia="宋体" w:cs="宋体"/>
          <w:color w:val="auto"/>
          <w:spacing w:val="0"/>
          <w:sz w:val="24"/>
          <w:szCs w:val="24"/>
          <w:highlight w:val="none"/>
        </w:rPr>
        <w:fldChar w:fldCharType="begin"/>
      </w:r>
      <w:r>
        <w:rPr>
          <w:rFonts w:hint="eastAsia" w:ascii="宋体" w:hAnsi="宋体" w:eastAsia="宋体" w:cs="宋体"/>
          <w:color w:val="auto"/>
          <w:spacing w:val="0"/>
          <w:sz w:val="24"/>
          <w:szCs w:val="24"/>
          <w:highlight w:val="none"/>
        </w:rPr>
        <w:instrText xml:space="preserve"> = 4 \* GB3 \* MERGEFORMAT </w:instrText>
      </w:r>
      <w:r>
        <w:rPr>
          <w:rFonts w:hint="eastAsia" w:ascii="宋体" w:hAnsi="宋体" w:eastAsia="宋体" w:cs="宋体"/>
          <w:color w:val="auto"/>
          <w:spacing w:val="0"/>
          <w:sz w:val="24"/>
          <w:szCs w:val="24"/>
          <w:highlight w:val="none"/>
        </w:rPr>
        <w:fldChar w:fldCharType="separate"/>
      </w:r>
      <w:r>
        <w:rPr>
          <w:rFonts w:hint="eastAsia" w:ascii="宋体" w:hAnsi="宋体" w:eastAsia="宋体" w:cs="宋体"/>
          <w:color w:val="auto"/>
          <w:sz w:val="24"/>
          <w:szCs w:val="24"/>
          <w:highlight w:val="none"/>
        </w:rPr>
        <w:t>④</w:t>
      </w:r>
      <w:r>
        <w:rPr>
          <w:rFonts w:hint="eastAsia" w:ascii="宋体" w:hAnsi="宋体" w:eastAsia="宋体" w:cs="宋体"/>
          <w:color w:val="auto"/>
          <w:spacing w:val="0"/>
          <w:sz w:val="24"/>
          <w:szCs w:val="24"/>
          <w:highlight w:val="none"/>
        </w:rPr>
        <w:fldChar w:fldCharType="end"/>
      </w:r>
      <w:r>
        <w:rPr>
          <w:rFonts w:hint="eastAsia" w:ascii="宋体" w:hAnsi="宋体" w:eastAsia="宋体" w:cs="宋体"/>
          <w:color w:val="auto"/>
          <w:spacing w:val="0"/>
          <w:sz w:val="24"/>
          <w:szCs w:val="24"/>
          <w:highlight w:val="none"/>
        </w:rPr>
        <w:t>资料、档案管理制度等</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管理制度和标准健全完整、切实有效。方案内容</w:t>
      </w:r>
      <w:r>
        <w:rPr>
          <w:rFonts w:hint="eastAsia" w:ascii="宋体" w:hAnsi="宋体" w:cs="宋体"/>
          <w:color w:val="auto"/>
          <w:spacing w:val="0"/>
          <w:sz w:val="24"/>
          <w:szCs w:val="24"/>
          <w:highlight w:val="none"/>
          <w:lang w:val="en-US" w:eastAsia="zh-CN"/>
        </w:rPr>
        <w:t>全面且</w:t>
      </w:r>
      <w:r>
        <w:rPr>
          <w:rFonts w:hint="eastAsia" w:ascii="宋体" w:hAnsi="宋体" w:eastAsia="宋体" w:cs="宋体"/>
          <w:color w:val="auto"/>
          <w:spacing w:val="0"/>
          <w:sz w:val="24"/>
          <w:szCs w:val="24"/>
          <w:highlight w:val="none"/>
        </w:rPr>
        <w:t>优于项目需求的得</w:t>
      </w:r>
      <w:r>
        <w:rPr>
          <w:rFonts w:hint="eastAsia" w:ascii="宋体" w:hAnsi="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分；方案内容</w:t>
      </w:r>
      <w:r>
        <w:rPr>
          <w:rFonts w:hint="eastAsia" w:ascii="宋体" w:hAnsi="宋体" w:cs="宋体"/>
          <w:color w:val="auto"/>
          <w:spacing w:val="0"/>
          <w:sz w:val="24"/>
          <w:szCs w:val="24"/>
          <w:highlight w:val="none"/>
          <w:lang w:val="en-US" w:eastAsia="zh-CN"/>
        </w:rPr>
        <w:t>完整且完全</w:t>
      </w:r>
      <w:r>
        <w:rPr>
          <w:rFonts w:hint="eastAsia" w:ascii="宋体" w:hAnsi="宋体" w:eastAsia="宋体" w:cs="宋体"/>
          <w:color w:val="auto"/>
          <w:spacing w:val="0"/>
          <w:sz w:val="24"/>
          <w:szCs w:val="24"/>
          <w:highlight w:val="none"/>
        </w:rPr>
        <w:t>满足项目需求的得</w:t>
      </w:r>
      <w:r>
        <w:rPr>
          <w:rFonts w:hint="eastAsia" w:ascii="宋体" w:hAnsi="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分；方案缺少部分内容或部分内容不满足项目需求的</w:t>
      </w:r>
      <w:r>
        <w:rPr>
          <w:rFonts w:hint="eastAsia" w:ascii="宋体" w:hAnsi="宋体" w:cs="宋体"/>
          <w:color w:val="auto"/>
          <w:spacing w:val="0"/>
          <w:sz w:val="24"/>
          <w:szCs w:val="24"/>
          <w:highlight w:val="none"/>
          <w:lang w:val="en-US" w:eastAsia="zh-CN"/>
        </w:rPr>
        <w:t>得4分；</w:t>
      </w:r>
      <w:r>
        <w:rPr>
          <w:rFonts w:hint="eastAsia" w:ascii="宋体" w:hAnsi="宋体" w:eastAsia="宋体" w:cs="宋体"/>
          <w:color w:val="auto"/>
          <w:spacing w:val="0"/>
          <w:sz w:val="24"/>
          <w:szCs w:val="24"/>
          <w:highlight w:val="none"/>
        </w:rPr>
        <w:t>方案内容完全不满足项目需求或未提供的</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不得分</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0</w:t>
      </w:r>
      <w:r>
        <w:rPr>
          <w:rFonts w:hint="eastAsia" w:ascii="宋体" w:hAnsi="宋体" w:cs="宋体"/>
          <w:color w:val="auto"/>
          <w:spacing w:val="0"/>
          <w:sz w:val="24"/>
          <w:szCs w:val="24"/>
          <w:highlight w:val="none"/>
          <w:lang w:val="en-US" w:eastAsia="zh-CN"/>
        </w:rPr>
        <w:t>/4/5/6</w:t>
      </w:r>
      <w:r>
        <w:rPr>
          <w:rFonts w:hint="eastAsia" w:ascii="宋体" w:hAnsi="宋体" w:eastAsia="宋体" w:cs="宋体"/>
          <w:color w:val="auto"/>
          <w:spacing w:val="0"/>
          <w:sz w:val="24"/>
          <w:szCs w:val="24"/>
          <w:highlight w:val="none"/>
          <w:lang w:eastAsia="zh-CN"/>
        </w:rPr>
        <w:t>】</w:t>
      </w:r>
    </w:p>
    <w:p w14:paraId="63E3A2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2.2.全年绿地养护管理计划</w:t>
      </w:r>
    </w:p>
    <w:p w14:paraId="6322117D">
      <w:pPr>
        <w:keepNext w:val="0"/>
        <w:keepLines w:val="0"/>
        <w:pageBreakBefore w:val="0"/>
        <w:widowControl w:val="0"/>
        <w:kinsoku/>
        <w:wordWrap/>
        <w:overflowPunct/>
        <w:topLinePunct w:val="0"/>
        <w:autoSpaceDE/>
        <w:autoSpaceDN/>
        <w:bidi w:val="0"/>
        <w:adjustRightInd/>
        <w:snapToGrid/>
        <w:spacing w:line="360" w:lineRule="auto"/>
        <w:ind w:right="5" w:firstLine="480" w:firstLineChars="200"/>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根据投标人提供的全年绿地养护管理计划综合评定，包括</w:t>
      </w:r>
      <w:r>
        <w:rPr>
          <w:rFonts w:hint="eastAsia" w:ascii="宋体" w:hAnsi="宋体" w:eastAsia="宋体" w:cs="宋体"/>
          <w:color w:val="auto"/>
          <w:spacing w:val="0"/>
          <w:sz w:val="24"/>
          <w:szCs w:val="24"/>
          <w:highlight w:val="none"/>
        </w:rPr>
        <w:t>①</w:t>
      </w:r>
      <w:r>
        <w:rPr>
          <w:rFonts w:ascii="宋体" w:hAnsi="宋体" w:eastAsia="宋体" w:cs="宋体"/>
          <w:color w:val="auto"/>
          <w:spacing w:val="0"/>
          <w:sz w:val="24"/>
          <w:szCs w:val="24"/>
          <w:highlight w:val="none"/>
        </w:rPr>
        <w:t>结合季节变化，提供按不同的位置、绿化种植品种、不同季节、不同天气、不同的立地条件制订相应计划</w:t>
      </w:r>
      <w:r>
        <w:rPr>
          <w:rFonts w:hint="eastAsia" w:ascii="宋体" w:hAnsi="宋体" w:eastAsia="宋体" w:cs="宋体"/>
          <w:color w:val="auto"/>
          <w:spacing w:val="0"/>
          <w:sz w:val="24"/>
          <w:szCs w:val="24"/>
          <w:highlight w:val="none"/>
        </w:rPr>
        <w:t>；②</w:t>
      </w:r>
      <w:r>
        <w:rPr>
          <w:rFonts w:hint="eastAsia" w:ascii="宋体" w:hAnsi="宋体" w:cs="宋体"/>
          <w:color w:val="auto"/>
          <w:spacing w:val="0"/>
          <w:sz w:val="24"/>
          <w:szCs w:val="24"/>
          <w:highlight w:val="none"/>
          <w:lang w:val="en-US" w:eastAsia="zh-CN"/>
        </w:rPr>
        <w:t>主要</w:t>
      </w:r>
      <w:r>
        <w:rPr>
          <w:rFonts w:ascii="宋体" w:hAnsi="宋体" w:eastAsia="宋体" w:cs="宋体"/>
          <w:color w:val="auto"/>
          <w:spacing w:val="0"/>
          <w:sz w:val="24"/>
          <w:szCs w:val="24"/>
          <w:highlight w:val="none"/>
        </w:rPr>
        <w:t>养护工作</w:t>
      </w:r>
      <w:r>
        <w:rPr>
          <w:rFonts w:hint="eastAsia" w:ascii="宋体" w:hAnsi="宋体" w:eastAsia="宋体" w:cs="宋体"/>
          <w:color w:val="auto"/>
          <w:spacing w:val="0"/>
          <w:sz w:val="24"/>
          <w:szCs w:val="24"/>
          <w:highlight w:val="none"/>
          <w:lang w:val="en-US" w:eastAsia="zh-CN"/>
        </w:rPr>
        <w:t>内容</w:t>
      </w:r>
      <w:r>
        <w:rPr>
          <w:rFonts w:hint="eastAsia" w:ascii="宋体" w:hAnsi="宋体" w:eastAsia="宋体" w:cs="宋体"/>
          <w:color w:val="auto"/>
          <w:spacing w:val="0"/>
          <w:sz w:val="24"/>
          <w:szCs w:val="24"/>
          <w:highlight w:val="none"/>
        </w:rPr>
        <w:t>；③</w:t>
      </w:r>
      <w:r>
        <w:rPr>
          <w:rFonts w:hint="eastAsia" w:ascii="宋体" w:hAnsi="宋体" w:eastAsia="宋体" w:cs="宋体"/>
          <w:color w:val="auto"/>
          <w:spacing w:val="0"/>
          <w:sz w:val="24"/>
          <w:szCs w:val="24"/>
          <w:highlight w:val="none"/>
          <w:lang w:val="en-US" w:eastAsia="zh-CN"/>
        </w:rPr>
        <w:t>养护标准及措施</w:t>
      </w:r>
      <w:r>
        <w:rPr>
          <w:rFonts w:hint="eastAsia" w:ascii="宋体" w:hAnsi="宋体" w:eastAsia="宋体" w:cs="宋体"/>
          <w:color w:val="auto"/>
          <w:spacing w:val="0"/>
          <w:sz w:val="24"/>
          <w:szCs w:val="24"/>
          <w:highlight w:val="none"/>
        </w:rPr>
        <w:t>等</w:t>
      </w:r>
      <w:r>
        <w:rPr>
          <w:rFonts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rPr>
        <w:t>方案内容</w:t>
      </w:r>
      <w:r>
        <w:rPr>
          <w:rFonts w:hint="eastAsia" w:ascii="宋体" w:hAnsi="宋体" w:cs="宋体"/>
          <w:color w:val="auto"/>
          <w:spacing w:val="0"/>
          <w:sz w:val="24"/>
          <w:szCs w:val="24"/>
          <w:highlight w:val="none"/>
          <w:lang w:val="en-US" w:eastAsia="zh-CN"/>
        </w:rPr>
        <w:t>全面且</w:t>
      </w:r>
      <w:r>
        <w:rPr>
          <w:rFonts w:hint="eastAsia" w:ascii="宋体" w:hAnsi="宋体" w:eastAsia="宋体" w:cs="宋体"/>
          <w:color w:val="auto"/>
          <w:spacing w:val="0"/>
          <w:sz w:val="24"/>
          <w:szCs w:val="24"/>
          <w:highlight w:val="none"/>
        </w:rPr>
        <w:t>优于项目需求的得</w:t>
      </w:r>
      <w:r>
        <w:rPr>
          <w:rFonts w:hint="eastAsia" w:ascii="宋体" w:hAnsi="宋体" w:cs="宋体"/>
          <w:color w:val="auto"/>
          <w:spacing w:val="0"/>
          <w:sz w:val="24"/>
          <w:szCs w:val="24"/>
          <w:highlight w:val="none"/>
          <w:lang w:val="en-US" w:eastAsia="zh-CN"/>
        </w:rPr>
        <w:t>9</w:t>
      </w:r>
      <w:r>
        <w:rPr>
          <w:rFonts w:hint="eastAsia" w:ascii="宋体" w:hAnsi="宋体" w:eastAsia="宋体" w:cs="宋体"/>
          <w:color w:val="auto"/>
          <w:spacing w:val="0"/>
          <w:sz w:val="24"/>
          <w:szCs w:val="24"/>
          <w:highlight w:val="none"/>
        </w:rPr>
        <w:t>分；方案内容</w:t>
      </w:r>
      <w:r>
        <w:rPr>
          <w:rFonts w:hint="eastAsia" w:ascii="宋体" w:hAnsi="宋体" w:cs="宋体"/>
          <w:color w:val="auto"/>
          <w:spacing w:val="0"/>
          <w:sz w:val="24"/>
          <w:szCs w:val="24"/>
          <w:highlight w:val="none"/>
          <w:lang w:val="en-US" w:eastAsia="zh-CN"/>
        </w:rPr>
        <w:t>完整且完全</w:t>
      </w:r>
      <w:r>
        <w:rPr>
          <w:rFonts w:hint="eastAsia" w:ascii="宋体" w:hAnsi="宋体" w:eastAsia="宋体" w:cs="宋体"/>
          <w:color w:val="auto"/>
          <w:spacing w:val="0"/>
          <w:sz w:val="24"/>
          <w:szCs w:val="24"/>
          <w:highlight w:val="none"/>
        </w:rPr>
        <w:t>满足项目需求的得</w:t>
      </w:r>
      <w:r>
        <w:rPr>
          <w:rFonts w:hint="eastAsia" w:ascii="宋体" w:hAnsi="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rPr>
        <w:t>分；方案缺少部分内容或部分内容不满足项目需求的</w:t>
      </w:r>
      <w:r>
        <w:rPr>
          <w:rFonts w:hint="eastAsia" w:ascii="宋体" w:hAnsi="宋体" w:cs="宋体"/>
          <w:color w:val="auto"/>
          <w:spacing w:val="0"/>
          <w:sz w:val="24"/>
          <w:szCs w:val="24"/>
          <w:highlight w:val="none"/>
          <w:lang w:val="en-US" w:eastAsia="zh-CN"/>
        </w:rPr>
        <w:t>得5分；</w:t>
      </w:r>
      <w:r>
        <w:rPr>
          <w:rFonts w:hint="eastAsia" w:ascii="宋体" w:hAnsi="宋体" w:eastAsia="宋体" w:cs="宋体"/>
          <w:color w:val="auto"/>
          <w:spacing w:val="0"/>
          <w:sz w:val="24"/>
          <w:szCs w:val="24"/>
          <w:highlight w:val="none"/>
        </w:rPr>
        <w:t>方案内容完全不满足项目需求或未提供的</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不得分</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0</w:t>
      </w:r>
      <w:r>
        <w:rPr>
          <w:rFonts w:hint="eastAsia" w:ascii="宋体" w:hAnsi="宋体" w:cs="宋体"/>
          <w:color w:val="auto"/>
          <w:spacing w:val="0"/>
          <w:sz w:val="24"/>
          <w:szCs w:val="24"/>
          <w:highlight w:val="none"/>
          <w:lang w:val="en-US" w:eastAsia="zh-CN"/>
        </w:rPr>
        <w:t>/5/7/9</w:t>
      </w:r>
      <w:r>
        <w:rPr>
          <w:rFonts w:hint="eastAsia" w:ascii="宋体" w:hAnsi="宋体" w:eastAsia="宋体" w:cs="宋体"/>
          <w:color w:val="auto"/>
          <w:spacing w:val="0"/>
          <w:sz w:val="24"/>
          <w:szCs w:val="24"/>
          <w:highlight w:val="none"/>
          <w:lang w:eastAsia="zh-CN"/>
        </w:rPr>
        <w:t>】</w:t>
      </w:r>
    </w:p>
    <w:p w14:paraId="0C82D834">
      <w:pPr>
        <w:keepNext w:val="0"/>
        <w:keepLines w:val="0"/>
        <w:pageBreakBefore w:val="0"/>
        <w:widowControl w:val="0"/>
        <w:kinsoku/>
        <w:wordWrap/>
        <w:overflowPunct/>
        <w:topLinePunct w:val="0"/>
        <w:autoSpaceDE/>
        <w:autoSpaceDN/>
        <w:bidi w:val="0"/>
        <w:adjustRightInd/>
        <w:snapToGrid/>
        <w:spacing w:line="360" w:lineRule="auto"/>
        <w:ind w:left="523"/>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2.3.绿地养护方案</w:t>
      </w:r>
    </w:p>
    <w:p w14:paraId="1E8AD957">
      <w:pPr>
        <w:keepNext w:val="0"/>
        <w:keepLines w:val="0"/>
        <w:pageBreakBefore w:val="0"/>
        <w:widowControl w:val="0"/>
        <w:kinsoku/>
        <w:wordWrap/>
        <w:overflowPunct/>
        <w:topLinePunct w:val="0"/>
        <w:autoSpaceDE/>
        <w:autoSpaceDN/>
        <w:bidi w:val="0"/>
        <w:adjustRightInd/>
        <w:snapToGrid/>
        <w:spacing w:line="360" w:lineRule="auto"/>
        <w:ind w:left="21" w:firstLine="499"/>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根据投标人提供的绿地养</w:t>
      </w:r>
      <w:r>
        <w:rPr>
          <w:rFonts w:hint="eastAsia" w:ascii="宋体" w:hAnsi="宋体" w:eastAsia="宋体" w:cs="宋体"/>
          <w:color w:val="auto"/>
          <w:spacing w:val="0"/>
          <w:sz w:val="24"/>
          <w:szCs w:val="24"/>
          <w:highlight w:val="none"/>
        </w:rPr>
        <w:t>护方案综合评定，包括①园艺化养护方案；②绿地保洁方案；③行道树管养方案；</w:t>
      </w:r>
      <w:r>
        <w:rPr>
          <w:rFonts w:hint="eastAsia" w:ascii="宋体" w:hAnsi="宋体" w:eastAsia="宋体" w:cs="宋体"/>
          <w:color w:val="auto"/>
          <w:spacing w:val="0"/>
          <w:sz w:val="24"/>
          <w:szCs w:val="24"/>
          <w:highlight w:val="none"/>
        </w:rPr>
        <w:fldChar w:fldCharType="begin"/>
      </w:r>
      <w:r>
        <w:rPr>
          <w:rFonts w:hint="eastAsia" w:ascii="宋体" w:hAnsi="宋体" w:eastAsia="宋体" w:cs="宋体"/>
          <w:color w:val="auto"/>
          <w:spacing w:val="0"/>
          <w:sz w:val="24"/>
          <w:szCs w:val="24"/>
          <w:highlight w:val="none"/>
        </w:rPr>
        <w:instrText xml:space="preserve"> = 4 \* GB3 \* MERGEFORMAT </w:instrText>
      </w:r>
      <w:r>
        <w:rPr>
          <w:rFonts w:hint="eastAsia" w:ascii="宋体" w:hAnsi="宋体" w:eastAsia="宋体" w:cs="宋体"/>
          <w:color w:val="auto"/>
          <w:spacing w:val="0"/>
          <w:sz w:val="24"/>
          <w:szCs w:val="24"/>
          <w:highlight w:val="none"/>
        </w:rPr>
        <w:fldChar w:fldCharType="separate"/>
      </w:r>
      <w:r>
        <w:rPr>
          <w:rFonts w:hint="eastAsia" w:ascii="宋体" w:hAnsi="宋体" w:eastAsia="宋体" w:cs="宋体"/>
          <w:color w:val="auto"/>
          <w:sz w:val="24"/>
          <w:szCs w:val="24"/>
          <w:highlight w:val="none"/>
        </w:rPr>
        <w:t>④</w:t>
      </w:r>
      <w:r>
        <w:rPr>
          <w:rFonts w:hint="eastAsia" w:ascii="宋体" w:hAnsi="宋体" w:eastAsia="宋体" w:cs="宋体"/>
          <w:color w:val="auto"/>
          <w:spacing w:val="0"/>
          <w:sz w:val="24"/>
          <w:szCs w:val="24"/>
          <w:highlight w:val="none"/>
        </w:rPr>
        <w:fldChar w:fldCharType="end"/>
      </w:r>
      <w:r>
        <w:rPr>
          <w:rFonts w:hint="eastAsia" w:ascii="宋体" w:hAnsi="宋体" w:eastAsia="宋体" w:cs="宋体"/>
          <w:color w:val="auto"/>
          <w:spacing w:val="0"/>
          <w:sz w:val="24"/>
          <w:szCs w:val="24"/>
          <w:highlight w:val="none"/>
        </w:rPr>
        <w:t>花境管养方案；⑤乔木修剪管养方案；⑥草坪管养方案；⑦肥料施用方案；⑧绿地普查方案；</w:t>
      </w:r>
      <w:r>
        <w:rPr>
          <w:rFonts w:hint="eastAsia" w:ascii="宋体" w:hAnsi="宋体" w:eastAsia="宋体" w:cs="宋体"/>
          <w:color w:val="auto"/>
          <w:spacing w:val="0"/>
          <w:sz w:val="24"/>
          <w:szCs w:val="24"/>
          <w:highlight w:val="none"/>
        </w:rPr>
        <w:fldChar w:fldCharType="begin"/>
      </w:r>
      <w:r>
        <w:rPr>
          <w:rFonts w:hint="eastAsia" w:ascii="宋体" w:hAnsi="宋体" w:eastAsia="宋体" w:cs="宋体"/>
          <w:color w:val="auto"/>
          <w:spacing w:val="0"/>
          <w:sz w:val="24"/>
          <w:szCs w:val="24"/>
          <w:highlight w:val="none"/>
        </w:rPr>
        <w:instrText xml:space="preserve"> = 9 \* GB3 \* MERGEFORMAT </w:instrText>
      </w:r>
      <w:r>
        <w:rPr>
          <w:rFonts w:hint="eastAsia" w:ascii="宋体" w:hAnsi="宋体" w:eastAsia="宋体" w:cs="宋体"/>
          <w:color w:val="auto"/>
          <w:spacing w:val="0"/>
          <w:sz w:val="24"/>
          <w:szCs w:val="24"/>
          <w:highlight w:val="none"/>
        </w:rPr>
        <w:fldChar w:fldCharType="separate"/>
      </w:r>
      <w:r>
        <w:rPr>
          <w:rFonts w:hint="eastAsia" w:ascii="宋体" w:hAnsi="宋体" w:eastAsia="宋体" w:cs="宋体"/>
          <w:color w:val="auto"/>
          <w:sz w:val="24"/>
          <w:szCs w:val="24"/>
          <w:highlight w:val="none"/>
        </w:rPr>
        <w:t>⑨</w:t>
      </w:r>
      <w:r>
        <w:rPr>
          <w:rFonts w:hint="eastAsia" w:ascii="宋体" w:hAnsi="宋体" w:eastAsia="宋体" w:cs="宋体"/>
          <w:color w:val="auto"/>
          <w:spacing w:val="0"/>
          <w:sz w:val="24"/>
          <w:szCs w:val="24"/>
          <w:highlight w:val="none"/>
        </w:rPr>
        <w:fldChar w:fldCharType="end"/>
      </w:r>
      <w:r>
        <w:rPr>
          <w:rFonts w:hint="eastAsia" w:ascii="宋体" w:hAnsi="宋体" w:eastAsia="宋体" w:cs="宋体"/>
          <w:color w:val="auto"/>
          <w:spacing w:val="0"/>
          <w:sz w:val="24"/>
          <w:szCs w:val="24"/>
          <w:highlight w:val="none"/>
        </w:rPr>
        <w:t>特殊养护需求的苗木养护方案；</w:t>
      </w:r>
      <w:r>
        <w:rPr>
          <w:rFonts w:hint="eastAsia" w:ascii="宋体" w:hAnsi="宋体" w:eastAsia="宋体" w:cs="宋体"/>
          <w:color w:val="auto"/>
          <w:spacing w:val="0"/>
          <w:sz w:val="24"/>
          <w:szCs w:val="24"/>
          <w:highlight w:val="none"/>
        </w:rPr>
        <w:fldChar w:fldCharType="begin"/>
      </w:r>
      <w:r>
        <w:rPr>
          <w:rFonts w:hint="eastAsia" w:ascii="宋体" w:hAnsi="宋体" w:eastAsia="宋体" w:cs="宋体"/>
          <w:color w:val="auto"/>
          <w:spacing w:val="0"/>
          <w:sz w:val="24"/>
          <w:szCs w:val="24"/>
          <w:highlight w:val="none"/>
        </w:rPr>
        <w:instrText xml:space="preserve"> = 10 \* GB3 \* MERGEFORMAT </w:instrText>
      </w:r>
      <w:r>
        <w:rPr>
          <w:rFonts w:hint="eastAsia" w:ascii="宋体" w:hAnsi="宋体" w:eastAsia="宋体" w:cs="宋体"/>
          <w:color w:val="auto"/>
          <w:spacing w:val="0"/>
          <w:sz w:val="24"/>
          <w:szCs w:val="24"/>
          <w:highlight w:val="none"/>
        </w:rPr>
        <w:fldChar w:fldCharType="separate"/>
      </w:r>
      <w:r>
        <w:rPr>
          <w:rFonts w:hint="eastAsia" w:ascii="宋体" w:hAnsi="宋体" w:eastAsia="宋体" w:cs="宋体"/>
          <w:color w:val="auto"/>
          <w:sz w:val="24"/>
          <w:szCs w:val="24"/>
          <w:highlight w:val="none"/>
        </w:rPr>
        <w:t>⑩</w:t>
      </w:r>
      <w:r>
        <w:rPr>
          <w:rFonts w:hint="eastAsia" w:ascii="宋体" w:hAnsi="宋体" w:eastAsia="宋体" w:cs="宋体"/>
          <w:color w:val="auto"/>
          <w:spacing w:val="0"/>
          <w:sz w:val="24"/>
          <w:szCs w:val="24"/>
          <w:highlight w:val="none"/>
        </w:rPr>
        <w:fldChar w:fldCharType="end"/>
      </w:r>
      <w:r>
        <w:rPr>
          <w:rFonts w:hint="eastAsia" w:ascii="宋体" w:hAnsi="宋体" w:eastAsia="宋体" w:cs="宋体"/>
          <w:color w:val="auto"/>
          <w:spacing w:val="0"/>
          <w:sz w:val="24"/>
          <w:szCs w:val="24"/>
          <w:highlight w:val="none"/>
        </w:rPr>
        <w:t>具体路段围栏养护方案；</w:t>
      </w:r>
      <w:r>
        <w:rPr>
          <w:rFonts w:hint="eastAsia" w:ascii="微软雅黑" w:hAnsi="微软雅黑" w:eastAsia="微软雅黑" w:cs="微软雅黑"/>
          <w:color w:val="auto"/>
          <w:spacing w:val="0"/>
          <w:sz w:val="24"/>
          <w:szCs w:val="24"/>
          <w:highlight w:val="none"/>
          <w:lang w:eastAsia="zh-CN"/>
        </w:rPr>
        <w:t>⑪</w:t>
      </w:r>
      <w:r>
        <w:rPr>
          <w:rFonts w:hint="eastAsia" w:ascii="宋体" w:hAnsi="宋体" w:eastAsia="宋体" w:cs="宋体"/>
          <w:color w:val="auto"/>
          <w:spacing w:val="0"/>
          <w:sz w:val="24"/>
          <w:szCs w:val="24"/>
          <w:highlight w:val="none"/>
        </w:rPr>
        <w:t>重要地段草坪追播黑麦草方案；</w:t>
      </w:r>
      <w:r>
        <w:rPr>
          <w:rFonts w:hint="eastAsia" w:ascii="微软雅黑" w:hAnsi="微软雅黑" w:eastAsia="微软雅黑" w:cs="微软雅黑"/>
          <w:color w:val="auto"/>
          <w:spacing w:val="0"/>
          <w:sz w:val="24"/>
          <w:szCs w:val="24"/>
          <w:highlight w:val="none"/>
          <w:lang w:eastAsia="zh-CN"/>
        </w:rPr>
        <w:t>⑫</w:t>
      </w:r>
      <w:r>
        <w:rPr>
          <w:rFonts w:hint="eastAsia" w:ascii="宋体" w:hAnsi="宋体" w:eastAsia="宋体" w:cs="宋体"/>
          <w:color w:val="auto"/>
          <w:spacing w:val="0"/>
          <w:sz w:val="24"/>
          <w:szCs w:val="24"/>
          <w:highlight w:val="none"/>
        </w:rPr>
        <w:t>林下空缺、裸露地</w:t>
      </w:r>
      <w:r>
        <w:rPr>
          <w:rFonts w:ascii="宋体" w:hAnsi="宋体" w:eastAsia="宋体" w:cs="宋体"/>
          <w:color w:val="auto"/>
          <w:spacing w:val="0"/>
          <w:sz w:val="24"/>
          <w:szCs w:val="24"/>
          <w:highlight w:val="none"/>
        </w:rPr>
        <w:t>补缺方案等</w:t>
      </w:r>
      <w:r>
        <w:rPr>
          <w:rFonts w:hint="eastAsia" w:ascii="宋体" w:hAnsi="宋体" w:eastAsia="宋体" w:cs="宋体"/>
          <w:color w:val="auto"/>
          <w:spacing w:val="0"/>
          <w:sz w:val="24"/>
          <w:szCs w:val="24"/>
          <w:highlight w:val="none"/>
          <w:lang w:eastAsia="zh-CN"/>
        </w:rPr>
        <w:t>。</w:t>
      </w:r>
      <w:r>
        <w:rPr>
          <w:rFonts w:ascii="宋体" w:hAnsi="宋体" w:eastAsia="宋体" w:cs="宋体"/>
          <w:color w:val="auto"/>
          <w:spacing w:val="0"/>
          <w:sz w:val="24"/>
          <w:szCs w:val="24"/>
          <w:highlight w:val="none"/>
        </w:rPr>
        <w:t>投标人应针对不同地段的特点，有针对性的制订养护措施，体现不同的养护重点。</w:t>
      </w:r>
      <w:r>
        <w:rPr>
          <w:rFonts w:hint="eastAsia" w:ascii="宋体" w:hAnsi="宋体" w:eastAsia="宋体" w:cs="宋体"/>
          <w:color w:val="auto"/>
          <w:spacing w:val="0"/>
          <w:sz w:val="24"/>
          <w:szCs w:val="24"/>
          <w:highlight w:val="none"/>
        </w:rPr>
        <w:t>方案内容</w:t>
      </w:r>
      <w:r>
        <w:rPr>
          <w:rFonts w:hint="eastAsia" w:ascii="宋体" w:hAnsi="宋体" w:cs="宋体"/>
          <w:color w:val="auto"/>
          <w:spacing w:val="0"/>
          <w:sz w:val="24"/>
          <w:szCs w:val="24"/>
          <w:highlight w:val="none"/>
          <w:lang w:val="en-US" w:eastAsia="zh-CN"/>
        </w:rPr>
        <w:t>全面且</w:t>
      </w:r>
      <w:r>
        <w:rPr>
          <w:rFonts w:hint="eastAsia" w:ascii="宋体" w:hAnsi="宋体" w:eastAsia="宋体" w:cs="宋体"/>
          <w:color w:val="auto"/>
          <w:spacing w:val="0"/>
          <w:sz w:val="24"/>
          <w:szCs w:val="24"/>
          <w:highlight w:val="none"/>
        </w:rPr>
        <w:t>优于项目需求的得</w:t>
      </w:r>
      <w:r>
        <w:rPr>
          <w:rFonts w:hint="eastAsia" w:ascii="宋体" w:hAnsi="宋体" w:cs="宋体"/>
          <w:color w:val="auto"/>
          <w:spacing w:val="0"/>
          <w:sz w:val="24"/>
          <w:szCs w:val="24"/>
          <w:highlight w:val="none"/>
          <w:lang w:val="en-US" w:eastAsia="zh-CN"/>
        </w:rPr>
        <w:t>12</w:t>
      </w:r>
      <w:r>
        <w:rPr>
          <w:rFonts w:hint="eastAsia" w:ascii="宋体" w:hAnsi="宋体" w:eastAsia="宋体" w:cs="宋体"/>
          <w:color w:val="auto"/>
          <w:spacing w:val="0"/>
          <w:sz w:val="24"/>
          <w:szCs w:val="24"/>
          <w:highlight w:val="none"/>
        </w:rPr>
        <w:t>分；方案内容</w:t>
      </w:r>
      <w:r>
        <w:rPr>
          <w:rFonts w:hint="eastAsia" w:ascii="宋体" w:hAnsi="宋体" w:cs="宋体"/>
          <w:color w:val="auto"/>
          <w:spacing w:val="0"/>
          <w:sz w:val="24"/>
          <w:szCs w:val="24"/>
          <w:highlight w:val="none"/>
          <w:lang w:val="en-US" w:eastAsia="zh-CN"/>
        </w:rPr>
        <w:t>完整且完全</w:t>
      </w:r>
      <w:r>
        <w:rPr>
          <w:rFonts w:hint="eastAsia" w:ascii="宋体" w:hAnsi="宋体" w:eastAsia="宋体" w:cs="宋体"/>
          <w:color w:val="auto"/>
          <w:spacing w:val="0"/>
          <w:sz w:val="24"/>
          <w:szCs w:val="24"/>
          <w:highlight w:val="none"/>
        </w:rPr>
        <w:t>满足项目需求的得</w:t>
      </w:r>
      <w:r>
        <w:rPr>
          <w:rFonts w:hint="eastAsia" w:ascii="宋体" w:hAnsi="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分；方案缺少部分内容或部分内容不满足项目需求的</w:t>
      </w:r>
      <w:r>
        <w:rPr>
          <w:rFonts w:hint="eastAsia" w:ascii="宋体" w:hAnsi="宋体" w:cs="宋体"/>
          <w:color w:val="auto"/>
          <w:spacing w:val="0"/>
          <w:sz w:val="24"/>
          <w:szCs w:val="24"/>
          <w:highlight w:val="none"/>
          <w:lang w:val="en-US" w:eastAsia="zh-CN"/>
        </w:rPr>
        <w:t>得8分；</w:t>
      </w:r>
      <w:r>
        <w:rPr>
          <w:rFonts w:hint="eastAsia" w:ascii="宋体" w:hAnsi="宋体" w:eastAsia="宋体" w:cs="宋体"/>
          <w:color w:val="auto"/>
          <w:spacing w:val="0"/>
          <w:sz w:val="24"/>
          <w:szCs w:val="24"/>
          <w:highlight w:val="none"/>
        </w:rPr>
        <w:t>方案内容完全不满足项目需求或未提供的</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不得分</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0</w:t>
      </w:r>
      <w:r>
        <w:rPr>
          <w:rFonts w:hint="eastAsia" w:ascii="宋体" w:hAnsi="宋体" w:cs="宋体"/>
          <w:color w:val="auto"/>
          <w:spacing w:val="0"/>
          <w:sz w:val="24"/>
          <w:szCs w:val="24"/>
          <w:highlight w:val="none"/>
          <w:lang w:val="en-US" w:eastAsia="zh-CN"/>
        </w:rPr>
        <w:t>/8/10/12</w:t>
      </w:r>
      <w:r>
        <w:rPr>
          <w:rFonts w:hint="eastAsia" w:ascii="宋体" w:hAnsi="宋体" w:eastAsia="宋体" w:cs="宋体"/>
          <w:color w:val="auto"/>
          <w:spacing w:val="0"/>
          <w:sz w:val="24"/>
          <w:szCs w:val="24"/>
          <w:highlight w:val="none"/>
          <w:lang w:eastAsia="zh-CN"/>
        </w:rPr>
        <w:t>】</w:t>
      </w:r>
    </w:p>
    <w:p w14:paraId="777AB49C">
      <w:pPr>
        <w:keepNext w:val="0"/>
        <w:keepLines w:val="0"/>
        <w:pageBreakBefore w:val="0"/>
        <w:widowControl w:val="0"/>
        <w:kinsoku/>
        <w:wordWrap/>
        <w:overflowPunct/>
        <w:topLinePunct w:val="0"/>
        <w:autoSpaceDE/>
        <w:autoSpaceDN/>
        <w:bidi w:val="0"/>
        <w:adjustRightInd/>
        <w:snapToGrid/>
        <w:spacing w:line="360" w:lineRule="auto"/>
        <w:ind w:left="523"/>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2.4.人员配置方案</w:t>
      </w:r>
    </w:p>
    <w:p w14:paraId="6706D706">
      <w:pPr>
        <w:keepNext w:val="0"/>
        <w:keepLines w:val="0"/>
        <w:pageBreakBefore w:val="0"/>
        <w:widowControl w:val="0"/>
        <w:kinsoku/>
        <w:wordWrap/>
        <w:overflowPunct/>
        <w:topLinePunct w:val="0"/>
        <w:autoSpaceDE/>
        <w:autoSpaceDN/>
        <w:bidi w:val="0"/>
        <w:adjustRightInd/>
        <w:snapToGrid/>
        <w:spacing w:line="360" w:lineRule="auto"/>
        <w:ind w:left="21" w:right="30" w:firstLine="499"/>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根据投标人提</w:t>
      </w:r>
      <w:r>
        <w:rPr>
          <w:rFonts w:hint="eastAsia" w:ascii="宋体" w:hAnsi="宋体" w:eastAsia="宋体" w:cs="宋体"/>
          <w:color w:val="auto"/>
          <w:spacing w:val="0"/>
          <w:sz w:val="24"/>
          <w:szCs w:val="24"/>
          <w:highlight w:val="none"/>
        </w:rPr>
        <w:t>供的人员配置方案综合评定，包括①提供符合标准要求的项目</w:t>
      </w:r>
      <w:r>
        <w:rPr>
          <w:rFonts w:hint="eastAsia" w:ascii="宋体" w:hAnsi="宋体" w:cs="宋体"/>
          <w:color w:val="auto"/>
          <w:spacing w:val="0"/>
          <w:sz w:val="24"/>
          <w:szCs w:val="24"/>
          <w:highlight w:val="none"/>
          <w:lang w:val="en-US" w:eastAsia="zh-CN"/>
        </w:rPr>
        <w:t>经理</w:t>
      </w:r>
      <w:r>
        <w:rPr>
          <w:rFonts w:hint="eastAsia" w:ascii="宋体" w:hAnsi="宋体" w:eastAsia="宋体" w:cs="宋体"/>
          <w:color w:val="auto"/>
          <w:spacing w:val="0"/>
          <w:sz w:val="24"/>
          <w:szCs w:val="24"/>
          <w:highlight w:val="none"/>
        </w:rPr>
        <w:t>、现场</w:t>
      </w:r>
      <w:r>
        <w:rPr>
          <w:rFonts w:hint="eastAsia" w:ascii="宋体" w:hAnsi="宋体" w:cs="宋体"/>
          <w:color w:val="auto"/>
          <w:spacing w:val="0"/>
          <w:sz w:val="24"/>
          <w:szCs w:val="24"/>
          <w:highlight w:val="none"/>
          <w:lang w:val="en-US" w:eastAsia="zh-CN"/>
        </w:rPr>
        <w:t>养护</w:t>
      </w:r>
      <w:r>
        <w:rPr>
          <w:rFonts w:hint="eastAsia" w:ascii="宋体" w:hAnsi="宋体" w:eastAsia="宋体" w:cs="宋体"/>
          <w:color w:val="auto"/>
          <w:spacing w:val="0"/>
          <w:sz w:val="24"/>
          <w:szCs w:val="24"/>
          <w:highlight w:val="none"/>
        </w:rPr>
        <w:t>负责人员、</w:t>
      </w:r>
      <w:r>
        <w:rPr>
          <w:rFonts w:hint="eastAsia" w:ascii="宋体" w:hAnsi="宋体" w:cs="宋体"/>
          <w:color w:val="auto"/>
          <w:spacing w:val="0"/>
          <w:sz w:val="24"/>
          <w:szCs w:val="24"/>
          <w:highlight w:val="none"/>
          <w:lang w:val="en-US" w:eastAsia="zh-CN"/>
        </w:rPr>
        <w:t>现场</w:t>
      </w:r>
      <w:r>
        <w:rPr>
          <w:rFonts w:hint="eastAsia" w:ascii="宋体" w:hAnsi="宋体" w:eastAsia="宋体" w:cs="宋体"/>
          <w:color w:val="auto"/>
          <w:spacing w:val="0"/>
          <w:sz w:val="24"/>
          <w:szCs w:val="24"/>
          <w:highlight w:val="none"/>
        </w:rPr>
        <w:t>养护</w:t>
      </w:r>
      <w:r>
        <w:rPr>
          <w:rFonts w:hint="eastAsia" w:ascii="宋体" w:hAnsi="宋体" w:cs="宋体"/>
          <w:color w:val="auto"/>
          <w:spacing w:val="0"/>
          <w:sz w:val="24"/>
          <w:szCs w:val="24"/>
          <w:highlight w:val="none"/>
          <w:lang w:val="en-US" w:eastAsia="zh-CN"/>
        </w:rPr>
        <w:t>技术人</w:t>
      </w:r>
      <w:r>
        <w:rPr>
          <w:rFonts w:hint="eastAsia" w:ascii="宋体" w:hAnsi="宋体" w:eastAsia="宋体" w:cs="宋体"/>
          <w:color w:val="auto"/>
          <w:spacing w:val="0"/>
          <w:sz w:val="24"/>
          <w:szCs w:val="24"/>
          <w:highlight w:val="none"/>
        </w:rPr>
        <w:t>员、高</w:t>
      </w:r>
      <w:r>
        <w:rPr>
          <w:rFonts w:hint="eastAsia" w:ascii="宋体" w:hAnsi="宋体" w:cs="宋体"/>
          <w:color w:val="auto"/>
          <w:spacing w:val="0"/>
          <w:sz w:val="24"/>
          <w:szCs w:val="24"/>
          <w:highlight w:val="none"/>
          <w:lang w:val="en-US" w:eastAsia="zh-CN"/>
        </w:rPr>
        <w:t>处</w:t>
      </w:r>
      <w:r>
        <w:rPr>
          <w:rFonts w:hint="eastAsia" w:ascii="宋体" w:hAnsi="宋体" w:eastAsia="宋体" w:cs="宋体"/>
          <w:color w:val="auto"/>
          <w:spacing w:val="0"/>
          <w:sz w:val="24"/>
          <w:szCs w:val="24"/>
          <w:highlight w:val="none"/>
        </w:rPr>
        <w:t>作业人员配置清单；②提供符合要求的绿化工等专业人员配置，建立合理、科学的人员安排制度、人员保障措施方案；③提</w:t>
      </w:r>
      <w:r>
        <w:rPr>
          <w:rFonts w:ascii="宋体" w:hAnsi="宋体" w:eastAsia="宋体" w:cs="宋体"/>
          <w:color w:val="auto"/>
          <w:spacing w:val="0"/>
          <w:sz w:val="24"/>
          <w:szCs w:val="24"/>
          <w:highlight w:val="none"/>
        </w:rPr>
        <w:t>供相关人员岗位制度及措施、每万平方米及每千棵行道树要求的养护人员安排方案等。</w:t>
      </w:r>
      <w:r>
        <w:rPr>
          <w:rFonts w:hint="eastAsia" w:ascii="宋体" w:hAnsi="宋体" w:eastAsia="宋体" w:cs="宋体"/>
          <w:color w:val="auto"/>
          <w:spacing w:val="0"/>
          <w:sz w:val="24"/>
          <w:szCs w:val="24"/>
          <w:highlight w:val="none"/>
        </w:rPr>
        <w:t>方案内容</w:t>
      </w:r>
      <w:r>
        <w:rPr>
          <w:rFonts w:hint="eastAsia" w:ascii="宋体" w:hAnsi="宋体" w:cs="宋体"/>
          <w:color w:val="auto"/>
          <w:spacing w:val="0"/>
          <w:sz w:val="24"/>
          <w:szCs w:val="24"/>
          <w:highlight w:val="none"/>
          <w:lang w:val="en-US" w:eastAsia="zh-CN"/>
        </w:rPr>
        <w:t>全面且</w:t>
      </w:r>
      <w:r>
        <w:rPr>
          <w:rFonts w:hint="eastAsia" w:ascii="宋体" w:hAnsi="宋体" w:eastAsia="宋体" w:cs="宋体"/>
          <w:color w:val="auto"/>
          <w:spacing w:val="0"/>
          <w:sz w:val="24"/>
          <w:szCs w:val="24"/>
          <w:highlight w:val="none"/>
        </w:rPr>
        <w:t>优于项目需求的得</w:t>
      </w:r>
      <w:r>
        <w:rPr>
          <w:rFonts w:hint="eastAsia" w:ascii="宋体" w:hAnsi="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分；方案内容</w:t>
      </w:r>
      <w:r>
        <w:rPr>
          <w:rFonts w:hint="eastAsia" w:ascii="宋体" w:hAnsi="宋体" w:cs="宋体"/>
          <w:color w:val="auto"/>
          <w:spacing w:val="0"/>
          <w:sz w:val="24"/>
          <w:szCs w:val="24"/>
          <w:highlight w:val="none"/>
          <w:lang w:val="en-US" w:eastAsia="zh-CN"/>
        </w:rPr>
        <w:t>完整且完全</w:t>
      </w:r>
      <w:r>
        <w:rPr>
          <w:rFonts w:hint="eastAsia" w:ascii="宋体" w:hAnsi="宋体" w:eastAsia="宋体" w:cs="宋体"/>
          <w:color w:val="auto"/>
          <w:spacing w:val="0"/>
          <w:sz w:val="24"/>
          <w:szCs w:val="24"/>
          <w:highlight w:val="none"/>
        </w:rPr>
        <w:t>满足项目需求的得</w:t>
      </w:r>
      <w:r>
        <w:rPr>
          <w:rFonts w:hint="eastAsia" w:ascii="宋体" w:hAnsi="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分；方案缺少部分内容或部分内容不满足项目需求的</w:t>
      </w:r>
      <w:r>
        <w:rPr>
          <w:rFonts w:hint="eastAsia" w:ascii="宋体" w:hAnsi="宋体" w:cs="宋体"/>
          <w:color w:val="auto"/>
          <w:spacing w:val="0"/>
          <w:sz w:val="24"/>
          <w:szCs w:val="24"/>
          <w:highlight w:val="none"/>
          <w:lang w:val="en-US" w:eastAsia="zh-CN"/>
        </w:rPr>
        <w:t>得4分；</w:t>
      </w:r>
      <w:r>
        <w:rPr>
          <w:rFonts w:hint="eastAsia" w:ascii="宋体" w:hAnsi="宋体" w:eastAsia="宋体" w:cs="宋体"/>
          <w:color w:val="auto"/>
          <w:spacing w:val="0"/>
          <w:sz w:val="24"/>
          <w:szCs w:val="24"/>
          <w:highlight w:val="none"/>
        </w:rPr>
        <w:t>方案内容完全不满足项目需求或未提供的</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不得分</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0</w:t>
      </w:r>
      <w:r>
        <w:rPr>
          <w:rFonts w:hint="eastAsia" w:ascii="宋体" w:hAnsi="宋体" w:cs="宋体"/>
          <w:color w:val="auto"/>
          <w:spacing w:val="0"/>
          <w:sz w:val="24"/>
          <w:szCs w:val="24"/>
          <w:highlight w:val="none"/>
          <w:lang w:val="en-US" w:eastAsia="zh-CN"/>
        </w:rPr>
        <w:t>/4/5/6</w:t>
      </w:r>
      <w:r>
        <w:rPr>
          <w:rFonts w:hint="eastAsia" w:ascii="宋体" w:hAnsi="宋体" w:eastAsia="宋体" w:cs="宋体"/>
          <w:color w:val="auto"/>
          <w:spacing w:val="0"/>
          <w:sz w:val="24"/>
          <w:szCs w:val="24"/>
          <w:highlight w:val="none"/>
          <w:lang w:eastAsia="zh-CN"/>
        </w:rPr>
        <w:t>】</w:t>
      </w:r>
    </w:p>
    <w:p w14:paraId="2324D13D">
      <w:pPr>
        <w:keepNext w:val="0"/>
        <w:keepLines w:val="0"/>
        <w:pageBreakBefore w:val="0"/>
        <w:widowControl w:val="0"/>
        <w:kinsoku/>
        <w:wordWrap/>
        <w:overflowPunct/>
        <w:topLinePunct w:val="0"/>
        <w:autoSpaceDE/>
        <w:autoSpaceDN/>
        <w:bidi w:val="0"/>
        <w:adjustRightInd/>
        <w:snapToGrid/>
        <w:spacing w:line="360" w:lineRule="auto"/>
        <w:ind w:left="523"/>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2.5.应急抢险方案</w:t>
      </w:r>
    </w:p>
    <w:p w14:paraId="6E5FBD41">
      <w:pPr>
        <w:keepNext w:val="0"/>
        <w:keepLines w:val="0"/>
        <w:pageBreakBefore w:val="0"/>
        <w:widowControl w:val="0"/>
        <w:kinsoku/>
        <w:wordWrap/>
        <w:overflowPunct/>
        <w:topLinePunct w:val="0"/>
        <w:autoSpaceDE/>
        <w:autoSpaceDN/>
        <w:bidi w:val="0"/>
        <w:adjustRightInd/>
        <w:snapToGrid/>
        <w:spacing w:line="360" w:lineRule="auto"/>
        <w:ind w:left="21" w:right="30" w:firstLine="499"/>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根据投标人提供的应急抢险方案综合评定，包括</w:t>
      </w:r>
      <w:r>
        <w:rPr>
          <w:rFonts w:hint="eastAsia" w:ascii="宋体" w:hAnsi="宋体" w:eastAsia="宋体" w:cs="宋体"/>
          <w:color w:val="auto"/>
          <w:spacing w:val="0"/>
          <w:sz w:val="24"/>
          <w:szCs w:val="24"/>
          <w:highlight w:val="none"/>
        </w:rPr>
        <w:t>①</w:t>
      </w:r>
      <w:r>
        <w:rPr>
          <w:rFonts w:ascii="宋体" w:hAnsi="宋体" w:eastAsia="宋体" w:cs="宋体"/>
          <w:color w:val="auto"/>
          <w:spacing w:val="0"/>
          <w:sz w:val="24"/>
          <w:szCs w:val="24"/>
          <w:highlight w:val="none"/>
        </w:rPr>
        <w:t>重大活动保障应急预案；</w:t>
      </w:r>
      <w:r>
        <w:rPr>
          <w:rFonts w:hint="eastAsia" w:ascii="宋体" w:hAnsi="宋体" w:eastAsia="宋体" w:cs="宋体"/>
          <w:color w:val="auto"/>
          <w:spacing w:val="0"/>
          <w:sz w:val="24"/>
          <w:szCs w:val="24"/>
          <w:highlight w:val="none"/>
        </w:rPr>
        <w:t>②</w:t>
      </w:r>
      <w:r>
        <w:rPr>
          <w:rFonts w:ascii="宋体" w:hAnsi="宋体" w:eastAsia="宋体" w:cs="宋体"/>
          <w:color w:val="auto"/>
          <w:spacing w:val="0"/>
          <w:sz w:val="24"/>
          <w:szCs w:val="24"/>
          <w:highlight w:val="none"/>
        </w:rPr>
        <w:t>特殊季节性绿化应急预案；</w:t>
      </w:r>
      <w:r>
        <w:rPr>
          <w:rFonts w:hint="eastAsia" w:ascii="宋体" w:hAnsi="宋体" w:eastAsia="宋体" w:cs="宋体"/>
          <w:color w:val="auto"/>
          <w:spacing w:val="0"/>
          <w:sz w:val="24"/>
          <w:szCs w:val="24"/>
          <w:highlight w:val="none"/>
        </w:rPr>
        <w:t>③</w:t>
      </w:r>
      <w:r>
        <w:rPr>
          <w:rFonts w:ascii="宋体" w:hAnsi="宋体" w:eastAsia="宋体" w:cs="宋体"/>
          <w:color w:val="auto"/>
          <w:spacing w:val="0"/>
          <w:sz w:val="24"/>
          <w:szCs w:val="24"/>
          <w:highlight w:val="none"/>
        </w:rPr>
        <w:t>道路绿化大面积病虫害应急预案；</w:t>
      </w:r>
      <w:r>
        <w:rPr>
          <w:rFonts w:hint="eastAsia" w:ascii="宋体" w:hAnsi="宋体" w:eastAsia="宋体" w:cs="宋体"/>
          <w:color w:val="auto"/>
          <w:spacing w:val="0"/>
          <w:sz w:val="24"/>
          <w:szCs w:val="24"/>
          <w:highlight w:val="none"/>
        </w:rPr>
        <w:fldChar w:fldCharType="begin"/>
      </w:r>
      <w:r>
        <w:rPr>
          <w:rFonts w:hint="eastAsia" w:ascii="宋体" w:hAnsi="宋体" w:eastAsia="宋体" w:cs="宋体"/>
          <w:color w:val="auto"/>
          <w:spacing w:val="0"/>
          <w:sz w:val="24"/>
          <w:szCs w:val="24"/>
          <w:highlight w:val="none"/>
        </w:rPr>
        <w:instrText xml:space="preserve"> = 4 \* GB3 \* MERGEFORMAT </w:instrText>
      </w:r>
      <w:r>
        <w:rPr>
          <w:rFonts w:hint="eastAsia" w:ascii="宋体" w:hAnsi="宋体" w:eastAsia="宋体" w:cs="宋体"/>
          <w:color w:val="auto"/>
          <w:spacing w:val="0"/>
          <w:sz w:val="24"/>
          <w:szCs w:val="24"/>
          <w:highlight w:val="none"/>
        </w:rPr>
        <w:fldChar w:fldCharType="separate"/>
      </w:r>
      <w:r>
        <w:rPr>
          <w:rFonts w:hint="eastAsia" w:ascii="宋体" w:hAnsi="宋体" w:eastAsia="宋体" w:cs="宋体"/>
          <w:color w:val="auto"/>
          <w:sz w:val="24"/>
          <w:szCs w:val="24"/>
          <w:highlight w:val="none"/>
        </w:rPr>
        <w:t>④</w:t>
      </w:r>
      <w:r>
        <w:rPr>
          <w:rFonts w:hint="eastAsia" w:ascii="宋体" w:hAnsi="宋体" w:eastAsia="宋体" w:cs="宋体"/>
          <w:color w:val="auto"/>
          <w:spacing w:val="0"/>
          <w:sz w:val="24"/>
          <w:szCs w:val="24"/>
          <w:highlight w:val="none"/>
        </w:rPr>
        <w:fldChar w:fldCharType="end"/>
      </w:r>
      <w:r>
        <w:rPr>
          <w:rFonts w:ascii="宋体" w:hAnsi="宋体" w:eastAsia="宋体" w:cs="宋体"/>
          <w:color w:val="auto"/>
          <w:spacing w:val="0"/>
          <w:sz w:val="24"/>
          <w:szCs w:val="24"/>
          <w:highlight w:val="none"/>
        </w:rPr>
        <w:t>抗冰除雪高温干旱、台风、暴雨等恶劣天气应急预案；</w:t>
      </w:r>
      <w:r>
        <w:rPr>
          <w:rFonts w:hint="eastAsia" w:ascii="宋体" w:hAnsi="宋体" w:eastAsia="宋体" w:cs="宋体"/>
          <w:color w:val="auto"/>
          <w:spacing w:val="0"/>
          <w:sz w:val="24"/>
          <w:szCs w:val="24"/>
          <w:highlight w:val="none"/>
        </w:rPr>
        <w:t>⑤</w:t>
      </w:r>
      <w:r>
        <w:rPr>
          <w:rFonts w:ascii="宋体" w:hAnsi="宋体" w:eastAsia="宋体" w:cs="宋体"/>
          <w:color w:val="auto"/>
          <w:spacing w:val="0"/>
          <w:sz w:val="24"/>
          <w:szCs w:val="24"/>
          <w:highlight w:val="none"/>
        </w:rPr>
        <w:t>110联动应急抢险预案；</w:t>
      </w:r>
      <w:r>
        <w:rPr>
          <w:rFonts w:hint="eastAsia" w:ascii="宋体" w:hAnsi="宋体" w:eastAsia="宋体" w:cs="宋体"/>
          <w:color w:val="auto"/>
          <w:spacing w:val="0"/>
          <w:sz w:val="24"/>
          <w:szCs w:val="24"/>
          <w:highlight w:val="none"/>
        </w:rPr>
        <w:t>⑥</w:t>
      </w:r>
      <w:r>
        <w:rPr>
          <w:rFonts w:ascii="宋体" w:hAnsi="宋体" w:eastAsia="宋体" w:cs="宋体"/>
          <w:color w:val="auto"/>
          <w:spacing w:val="0"/>
          <w:sz w:val="24"/>
          <w:szCs w:val="24"/>
          <w:highlight w:val="none"/>
        </w:rPr>
        <w:t>生产安全事故应急救援预案；</w:t>
      </w:r>
      <w:r>
        <w:rPr>
          <w:rFonts w:hint="eastAsia" w:ascii="宋体" w:hAnsi="宋体" w:eastAsia="宋体" w:cs="宋体"/>
          <w:color w:val="auto"/>
          <w:spacing w:val="0"/>
          <w:sz w:val="24"/>
          <w:szCs w:val="24"/>
          <w:highlight w:val="none"/>
        </w:rPr>
        <w:t>⑦</w:t>
      </w:r>
      <w:r>
        <w:rPr>
          <w:rFonts w:ascii="宋体" w:hAnsi="宋体" w:eastAsia="宋体" w:cs="宋体"/>
          <w:color w:val="auto"/>
          <w:spacing w:val="0"/>
          <w:sz w:val="24"/>
          <w:szCs w:val="24"/>
          <w:highlight w:val="none"/>
        </w:rPr>
        <w:t>合理组织人员、机械、材料、通讯等工作方案；</w:t>
      </w:r>
      <w:r>
        <w:rPr>
          <w:rFonts w:hint="eastAsia" w:ascii="宋体" w:hAnsi="宋体" w:eastAsia="宋体" w:cs="宋体"/>
          <w:color w:val="auto"/>
          <w:spacing w:val="0"/>
          <w:sz w:val="24"/>
          <w:szCs w:val="24"/>
          <w:highlight w:val="none"/>
        </w:rPr>
        <w:t>⑧</w:t>
      </w:r>
      <w:r>
        <w:rPr>
          <w:rFonts w:ascii="宋体" w:hAnsi="宋体" w:eastAsia="宋体" w:cs="宋体"/>
          <w:color w:val="auto"/>
          <w:spacing w:val="0"/>
          <w:sz w:val="24"/>
          <w:szCs w:val="24"/>
          <w:highlight w:val="none"/>
        </w:rPr>
        <w:t>制定应对采购单位临时派发工作内容的应急方案等。</w:t>
      </w:r>
      <w:r>
        <w:rPr>
          <w:rFonts w:hint="eastAsia" w:ascii="宋体" w:hAnsi="宋体" w:eastAsia="宋体" w:cs="宋体"/>
          <w:color w:val="auto"/>
          <w:spacing w:val="0"/>
          <w:sz w:val="24"/>
          <w:szCs w:val="24"/>
          <w:highlight w:val="none"/>
        </w:rPr>
        <w:t>方案内容</w:t>
      </w:r>
      <w:r>
        <w:rPr>
          <w:rFonts w:hint="eastAsia" w:ascii="宋体" w:hAnsi="宋体" w:cs="宋体"/>
          <w:color w:val="auto"/>
          <w:spacing w:val="0"/>
          <w:sz w:val="24"/>
          <w:szCs w:val="24"/>
          <w:highlight w:val="none"/>
          <w:lang w:val="en-US" w:eastAsia="zh-CN"/>
        </w:rPr>
        <w:t>全面且</w:t>
      </w:r>
      <w:r>
        <w:rPr>
          <w:rFonts w:hint="eastAsia" w:ascii="宋体" w:hAnsi="宋体" w:eastAsia="宋体" w:cs="宋体"/>
          <w:color w:val="auto"/>
          <w:spacing w:val="0"/>
          <w:sz w:val="24"/>
          <w:szCs w:val="24"/>
          <w:highlight w:val="none"/>
        </w:rPr>
        <w:t>优于项目需求的得</w:t>
      </w:r>
      <w:r>
        <w:rPr>
          <w:rFonts w:hint="eastAsia" w:ascii="宋体" w:hAnsi="宋体" w:cs="宋体"/>
          <w:color w:val="auto"/>
          <w:spacing w:val="0"/>
          <w:sz w:val="24"/>
          <w:szCs w:val="24"/>
          <w:highlight w:val="none"/>
          <w:lang w:val="en-US" w:eastAsia="zh-CN"/>
        </w:rPr>
        <w:t>12</w:t>
      </w:r>
      <w:r>
        <w:rPr>
          <w:rFonts w:hint="eastAsia" w:ascii="宋体" w:hAnsi="宋体" w:eastAsia="宋体" w:cs="宋体"/>
          <w:color w:val="auto"/>
          <w:spacing w:val="0"/>
          <w:sz w:val="24"/>
          <w:szCs w:val="24"/>
          <w:highlight w:val="none"/>
        </w:rPr>
        <w:t>分；方案内容</w:t>
      </w:r>
      <w:r>
        <w:rPr>
          <w:rFonts w:hint="eastAsia" w:ascii="宋体" w:hAnsi="宋体" w:cs="宋体"/>
          <w:color w:val="auto"/>
          <w:spacing w:val="0"/>
          <w:sz w:val="24"/>
          <w:szCs w:val="24"/>
          <w:highlight w:val="none"/>
          <w:lang w:val="en-US" w:eastAsia="zh-CN"/>
        </w:rPr>
        <w:t>完整且完全</w:t>
      </w:r>
      <w:r>
        <w:rPr>
          <w:rFonts w:hint="eastAsia" w:ascii="宋体" w:hAnsi="宋体" w:eastAsia="宋体" w:cs="宋体"/>
          <w:color w:val="auto"/>
          <w:spacing w:val="0"/>
          <w:sz w:val="24"/>
          <w:szCs w:val="24"/>
          <w:highlight w:val="none"/>
        </w:rPr>
        <w:t>满足项目需求的得</w:t>
      </w:r>
      <w:r>
        <w:rPr>
          <w:rFonts w:hint="eastAsia" w:ascii="宋体" w:hAnsi="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分；方案缺少部分内容或部分内容不满足项目需求的</w:t>
      </w:r>
      <w:r>
        <w:rPr>
          <w:rFonts w:hint="eastAsia" w:ascii="宋体" w:hAnsi="宋体" w:cs="宋体"/>
          <w:color w:val="auto"/>
          <w:spacing w:val="0"/>
          <w:sz w:val="24"/>
          <w:szCs w:val="24"/>
          <w:highlight w:val="none"/>
          <w:lang w:val="en-US" w:eastAsia="zh-CN"/>
        </w:rPr>
        <w:t>得8分；</w:t>
      </w:r>
      <w:r>
        <w:rPr>
          <w:rFonts w:hint="eastAsia" w:ascii="宋体" w:hAnsi="宋体" w:eastAsia="宋体" w:cs="宋体"/>
          <w:color w:val="auto"/>
          <w:spacing w:val="0"/>
          <w:sz w:val="24"/>
          <w:szCs w:val="24"/>
          <w:highlight w:val="none"/>
        </w:rPr>
        <w:t>方案内容完全不满足项目需求或未提供的</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不得分</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0</w:t>
      </w:r>
      <w:r>
        <w:rPr>
          <w:rFonts w:hint="eastAsia" w:ascii="宋体" w:hAnsi="宋体" w:cs="宋体"/>
          <w:color w:val="auto"/>
          <w:spacing w:val="0"/>
          <w:sz w:val="24"/>
          <w:szCs w:val="24"/>
          <w:highlight w:val="none"/>
          <w:lang w:val="en-US" w:eastAsia="zh-CN"/>
        </w:rPr>
        <w:t>/8/10/12</w:t>
      </w:r>
      <w:r>
        <w:rPr>
          <w:rFonts w:hint="eastAsia" w:ascii="宋体" w:hAnsi="宋体" w:eastAsia="宋体" w:cs="宋体"/>
          <w:color w:val="auto"/>
          <w:spacing w:val="0"/>
          <w:sz w:val="24"/>
          <w:szCs w:val="24"/>
          <w:highlight w:val="none"/>
          <w:lang w:eastAsia="zh-CN"/>
        </w:rPr>
        <w:t>】</w:t>
      </w:r>
    </w:p>
    <w:p w14:paraId="0A501250">
      <w:pPr>
        <w:keepNext w:val="0"/>
        <w:keepLines w:val="0"/>
        <w:pageBreakBefore w:val="0"/>
        <w:widowControl w:val="0"/>
        <w:kinsoku/>
        <w:wordWrap/>
        <w:overflowPunct/>
        <w:topLinePunct w:val="0"/>
        <w:autoSpaceDE/>
        <w:autoSpaceDN/>
        <w:bidi w:val="0"/>
        <w:adjustRightInd/>
        <w:snapToGrid/>
        <w:spacing w:line="360" w:lineRule="auto"/>
        <w:ind w:left="523"/>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2.6.安全文明作业方案</w:t>
      </w:r>
    </w:p>
    <w:p w14:paraId="48F30FCE">
      <w:pPr>
        <w:keepNext w:val="0"/>
        <w:keepLines w:val="0"/>
        <w:pageBreakBefore w:val="0"/>
        <w:widowControl w:val="0"/>
        <w:kinsoku/>
        <w:wordWrap/>
        <w:overflowPunct/>
        <w:topLinePunct w:val="0"/>
        <w:autoSpaceDE/>
        <w:autoSpaceDN/>
        <w:bidi w:val="0"/>
        <w:adjustRightInd/>
        <w:snapToGrid/>
        <w:spacing w:line="360" w:lineRule="auto"/>
        <w:ind w:right="33" w:firstLine="480" w:firstLineChars="200"/>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根据投标人提供的安全文明作业方案综合评定，包括</w:t>
      </w:r>
      <w:r>
        <w:rPr>
          <w:rFonts w:hint="eastAsia" w:ascii="宋体" w:hAnsi="宋体" w:eastAsia="宋体" w:cs="宋体"/>
          <w:color w:val="auto"/>
          <w:spacing w:val="0"/>
          <w:sz w:val="24"/>
          <w:szCs w:val="24"/>
          <w:highlight w:val="none"/>
        </w:rPr>
        <w:t>①</w:t>
      </w:r>
      <w:r>
        <w:rPr>
          <w:rFonts w:ascii="宋体" w:hAnsi="宋体" w:eastAsia="宋体" w:cs="宋体"/>
          <w:color w:val="auto"/>
          <w:spacing w:val="0"/>
          <w:sz w:val="24"/>
          <w:szCs w:val="24"/>
          <w:highlight w:val="none"/>
        </w:rPr>
        <w:t>安全生产责任制；</w:t>
      </w:r>
      <w:r>
        <w:rPr>
          <w:rFonts w:hint="eastAsia" w:ascii="宋体" w:hAnsi="宋体" w:eastAsia="宋体" w:cs="宋体"/>
          <w:color w:val="auto"/>
          <w:spacing w:val="0"/>
          <w:sz w:val="24"/>
          <w:szCs w:val="24"/>
          <w:highlight w:val="none"/>
        </w:rPr>
        <w:t>②</w:t>
      </w:r>
      <w:r>
        <w:rPr>
          <w:rFonts w:ascii="宋体" w:hAnsi="宋体" w:eastAsia="宋体" w:cs="宋体"/>
          <w:color w:val="auto"/>
          <w:spacing w:val="0"/>
          <w:sz w:val="24"/>
          <w:szCs w:val="24"/>
          <w:highlight w:val="none"/>
        </w:rPr>
        <w:t>安全生产规章制度和操作规程；</w:t>
      </w:r>
      <w:r>
        <w:rPr>
          <w:rFonts w:hint="eastAsia" w:ascii="宋体" w:hAnsi="宋体" w:eastAsia="宋体" w:cs="宋体"/>
          <w:color w:val="auto"/>
          <w:spacing w:val="0"/>
          <w:sz w:val="24"/>
          <w:szCs w:val="24"/>
          <w:highlight w:val="none"/>
        </w:rPr>
        <w:t>③</w:t>
      </w:r>
      <w:r>
        <w:rPr>
          <w:rFonts w:ascii="宋体" w:hAnsi="宋体" w:eastAsia="宋体" w:cs="宋体"/>
          <w:color w:val="auto"/>
          <w:spacing w:val="0"/>
          <w:sz w:val="24"/>
          <w:szCs w:val="24"/>
          <w:highlight w:val="none"/>
        </w:rPr>
        <w:t>人员安全教育；</w:t>
      </w:r>
      <w:r>
        <w:rPr>
          <w:rFonts w:hint="eastAsia" w:ascii="宋体" w:hAnsi="宋体" w:eastAsia="宋体" w:cs="宋体"/>
          <w:color w:val="auto"/>
          <w:spacing w:val="0"/>
          <w:sz w:val="24"/>
          <w:szCs w:val="24"/>
          <w:highlight w:val="none"/>
        </w:rPr>
        <w:fldChar w:fldCharType="begin"/>
      </w:r>
      <w:r>
        <w:rPr>
          <w:rFonts w:hint="eastAsia" w:ascii="宋体" w:hAnsi="宋体" w:eastAsia="宋体" w:cs="宋体"/>
          <w:color w:val="auto"/>
          <w:spacing w:val="0"/>
          <w:sz w:val="24"/>
          <w:szCs w:val="24"/>
          <w:highlight w:val="none"/>
        </w:rPr>
        <w:instrText xml:space="preserve"> = 4 \* GB3 \* MERGEFORMAT </w:instrText>
      </w:r>
      <w:r>
        <w:rPr>
          <w:rFonts w:hint="eastAsia" w:ascii="宋体" w:hAnsi="宋体" w:eastAsia="宋体" w:cs="宋体"/>
          <w:color w:val="auto"/>
          <w:spacing w:val="0"/>
          <w:sz w:val="24"/>
          <w:szCs w:val="24"/>
          <w:highlight w:val="none"/>
        </w:rPr>
        <w:fldChar w:fldCharType="separate"/>
      </w:r>
      <w:r>
        <w:rPr>
          <w:rFonts w:hint="eastAsia" w:ascii="宋体" w:hAnsi="宋体" w:eastAsia="宋体" w:cs="宋体"/>
          <w:color w:val="auto"/>
          <w:sz w:val="24"/>
          <w:szCs w:val="24"/>
          <w:highlight w:val="none"/>
        </w:rPr>
        <w:t>④</w:t>
      </w:r>
      <w:r>
        <w:rPr>
          <w:rFonts w:hint="eastAsia" w:ascii="宋体" w:hAnsi="宋体" w:eastAsia="宋体" w:cs="宋体"/>
          <w:color w:val="auto"/>
          <w:spacing w:val="0"/>
          <w:sz w:val="24"/>
          <w:szCs w:val="24"/>
          <w:highlight w:val="none"/>
        </w:rPr>
        <w:fldChar w:fldCharType="end"/>
      </w:r>
      <w:r>
        <w:rPr>
          <w:rFonts w:ascii="宋体" w:hAnsi="宋体" w:eastAsia="宋体" w:cs="宋体"/>
          <w:color w:val="auto"/>
          <w:spacing w:val="0"/>
          <w:sz w:val="24"/>
          <w:szCs w:val="24"/>
          <w:highlight w:val="none"/>
        </w:rPr>
        <w:t>养护作业现场落实安全文明生产的保障措施；</w:t>
      </w:r>
      <w:r>
        <w:rPr>
          <w:rFonts w:hint="eastAsia" w:ascii="宋体" w:hAnsi="宋体" w:eastAsia="宋体" w:cs="宋体"/>
          <w:color w:val="auto"/>
          <w:spacing w:val="0"/>
          <w:sz w:val="24"/>
          <w:szCs w:val="24"/>
          <w:highlight w:val="none"/>
        </w:rPr>
        <w:t>⑤</w:t>
      </w:r>
      <w:r>
        <w:rPr>
          <w:rFonts w:ascii="宋体" w:hAnsi="宋体" w:eastAsia="宋体" w:cs="宋体"/>
          <w:color w:val="auto"/>
          <w:spacing w:val="0"/>
          <w:sz w:val="24"/>
          <w:szCs w:val="24"/>
          <w:highlight w:val="none"/>
        </w:rPr>
        <w:t>规范用工的保障措施；</w:t>
      </w:r>
      <w:r>
        <w:rPr>
          <w:rFonts w:hint="eastAsia" w:ascii="宋体" w:hAnsi="宋体" w:eastAsia="宋体" w:cs="宋体"/>
          <w:color w:val="auto"/>
          <w:spacing w:val="0"/>
          <w:sz w:val="24"/>
          <w:szCs w:val="24"/>
          <w:highlight w:val="none"/>
        </w:rPr>
        <w:t>⑥</w:t>
      </w:r>
      <w:r>
        <w:rPr>
          <w:rFonts w:ascii="宋体" w:hAnsi="宋体" w:eastAsia="宋体" w:cs="宋体"/>
          <w:color w:val="auto"/>
          <w:spacing w:val="0"/>
          <w:sz w:val="24"/>
          <w:szCs w:val="24"/>
          <w:highlight w:val="none"/>
        </w:rPr>
        <w:t>运输养护工人落实安全管理等。</w:t>
      </w:r>
      <w:r>
        <w:rPr>
          <w:rFonts w:hint="eastAsia" w:ascii="宋体" w:hAnsi="宋体" w:eastAsia="宋体" w:cs="宋体"/>
          <w:color w:val="auto"/>
          <w:spacing w:val="0"/>
          <w:sz w:val="24"/>
          <w:szCs w:val="24"/>
          <w:highlight w:val="none"/>
        </w:rPr>
        <w:t>方案内容</w:t>
      </w:r>
      <w:r>
        <w:rPr>
          <w:rFonts w:hint="eastAsia" w:ascii="宋体" w:hAnsi="宋体" w:cs="宋体"/>
          <w:color w:val="auto"/>
          <w:spacing w:val="0"/>
          <w:sz w:val="24"/>
          <w:szCs w:val="24"/>
          <w:highlight w:val="none"/>
          <w:lang w:val="en-US" w:eastAsia="zh-CN"/>
        </w:rPr>
        <w:t>全面且</w:t>
      </w:r>
      <w:r>
        <w:rPr>
          <w:rFonts w:hint="eastAsia" w:ascii="宋体" w:hAnsi="宋体" w:eastAsia="宋体" w:cs="宋体"/>
          <w:color w:val="auto"/>
          <w:spacing w:val="0"/>
          <w:sz w:val="24"/>
          <w:szCs w:val="24"/>
          <w:highlight w:val="none"/>
        </w:rPr>
        <w:t>优于项目需求的得</w:t>
      </w:r>
      <w:r>
        <w:rPr>
          <w:rFonts w:hint="eastAsia" w:ascii="宋体" w:hAnsi="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分；方案内容</w:t>
      </w:r>
      <w:r>
        <w:rPr>
          <w:rFonts w:hint="eastAsia" w:ascii="宋体" w:hAnsi="宋体" w:cs="宋体"/>
          <w:color w:val="auto"/>
          <w:spacing w:val="0"/>
          <w:sz w:val="24"/>
          <w:szCs w:val="24"/>
          <w:highlight w:val="none"/>
          <w:lang w:val="en-US" w:eastAsia="zh-CN"/>
        </w:rPr>
        <w:t>完整且完全</w:t>
      </w:r>
      <w:r>
        <w:rPr>
          <w:rFonts w:hint="eastAsia" w:ascii="宋体" w:hAnsi="宋体" w:eastAsia="宋体" w:cs="宋体"/>
          <w:color w:val="auto"/>
          <w:spacing w:val="0"/>
          <w:sz w:val="24"/>
          <w:szCs w:val="24"/>
          <w:highlight w:val="none"/>
        </w:rPr>
        <w:t>满足项目需求的得</w:t>
      </w:r>
      <w:r>
        <w:rPr>
          <w:rFonts w:hint="eastAsia" w:ascii="宋体" w:hAnsi="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分；方案缺少部分内容或部分内容不满足项目需求的</w:t>
      </w:r>
      <w:r>
        <w:rPr>
          <w:rFonts w:hint="eastAsia" w:ascii="宋体" w:hAnsi="宋体" w:cs="宋体"/>
          <w:color w:val="auto"/>
          <w:spacing w:val="0"/>
          <w:sz w:val="24"/>
          <w:szCs w:val="24"/>
          <w:highlight w:val="none"/>
          <w:lang w:val="en-US" w:eastAsia="zh-CN"/>
        </w:rPr>
        <w:t>得4分；</w:t>
      </w:r>
      <w:r>
        <w:rPr>
          <w:rFonts w:hint="eastAsia" w:ascii="宋体" w:hAnsi="宋体" w:eastAsia="宋体" w:cs="宋体"/>
          <w:color w:val="auto"/>
          <w:spacing w:val="0"/>
          <w:sz w:val="24"/>
          <w:szCs w:val="24"/>
          <w:highlight w:val="none"/>
        </w:rPr>
        <w:t>方案内容完全不满足项目需求或未提供的</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不得分</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0</w:t>
      </w:r>
      <w:r>
        <w:rPr>
          <w:rFonts w:hint="eastAsia" w:ascii="宋体" w:hAnsi="宋体" w:cs="宋体"/>
          <w:color w:val="auto"/>
          <w:spacing w:val="0"/>
          <w:sz w:val="24"/>
          <w:szCs w:val="24"/>
          <w:highlight w:val="none"/>
          <w:lang w:val="en-US" w:eastAsia="zh-CN"/>
        </w:rPr>
        <w:t>/4/5/6</w:t>
      </w:r>
      <w:r>
        <w:rPr>
          <w:rFonts w:hint="eastAsia" w:ascii="宋体" w:hAnsi="宋体" w:eastAsia="宋体" w:cs="宋体"/>
          <w:color w:val="auto"/>
          <w:spacing w:val="0"/>
          <w:sz w:val="24"/>
          <w:szCs w:val="24"/>
          <w:highlight w:val="none"/>
          <w:lang w:eastAsia="zh-CN"/>
        </w:rPr>
        <w:t>】</w:t>
      </w:r>
    </w:p>
    <w:p w14:paraId="6BFA0E75">
      <w:pPr>
        <w:keepNext w:val="0"/>
        <w:keepLines w:val="0"/>
        <w:pageBreakBefore w:val="0"/>
        <w:widowControl w:val="0"/>
        <w:kinsoku/>
        <w:wordWrap/>
        <w:overflowPunct/>
        <w:topLinePunct w:val="0"/>
        <w:autoSpaceDE/>
        <w:autoSpaceDN/>
        <w:bidi w:val="0"/>
        <w:adjustRightInd/>
        <w:snapToGrid/>
        <w:spacing w:line="360" w:lineRule="auto"/>
        <w:ind w:left="523"/>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2.7.车辆、设备设施作业管理维护方案</w:t>
      </w:r>
    </w:p>
    <w:p w14:paraId="4C30935C">
      <w:pPr>
        <w:keepNext w:val="0"/>
        <w:keepLines w:val="0"/>
        <w:pageBreakBefore w:val="0"/>
        <w:widowControl w:val="0"/>
        <w:kinsoku/>
        <w:wordWrap/>
        <w:overflowPunct/>
        <w:topLinePunct w:val="0"/>
        <w:autoSpaceDE/>
        <w:autoSpaceDN/>
        <w:bidi w:val="0"/>
        <w:adjustRightInd/>
        <w:snapToGrid/>
        <w:spacing w:line="360" w:lineRule="auto"/>
        <w:ind w:left="20" w:firstLine="500"/>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根据投入提供的车辆、设备设施作业管理维护方案综合评定，包</w:t>
      </w:r>
      <w:r>
        <w:rPr>
          <w:rFonts w:hint="eastAsia" w:ascii="宋体" w:hAnsi="宋体" w:eastAsia="宋体" w:cs="宋体"/>
          <w:color w:val="auto"/>
          <w:spacing w:val="0"/>
          <w:sz w:val="24"/>
          <w:szCs w:val="24"/>
          <w:highlight w:val="none"/>
          <w:lang w:val="en-US" w:eastAsia="zh-CN"/>
        </w:rPr>
        <w:t>括</w:t>
      </w:r>
      <w:r>
        <w:rPr>
          <w:rFonts w:hint="eastAsia" w:ascii="宋体" w:hAnsi="宋体" w:eastAsia="宋体" w:cs="宋体"/>
          <w:color w:val="auto"/>
          <w:spacing w:val="0"/>
          <w:sz w:val="24"/>
          <w:szCs w:val="24"/>
          <w:highlight w:val="none"/>
        </w:rPr>
        <w:t>①</w:t>
      </w:r>
      <w:r>
        <w:rPr>
          <w:rFonts w:ascii="宋体" w:hAnsi="宋体" w:eastAsia="宋体" w:cs="宋体"/>
          <w:color w:val="auto"/>
          <w:spacing w:val="0"/>
          <w:sz w:val="24"/>
          <w:szCs w:val="24"/>
          <w:highlight w:val="none"/>
        </w:rPr>
        <w:t>车辆、设施设备根据不同现状的作业安排方案；</w:t>
      </w:r>
      <w:r>
        <w:rPr>
          <w:rFonts w:hint="eastAsia" w:ascii="宋体" w:hAnsi="宋体" w:eastAsia="宋体" w:cs="宋体"/>
          <w:color w:val="auto"/>
          <w:spacing w:val="0"/>
          <w:sz w:val="24"/>
          <w:szCs w:val="24"/>
          <w:highlight w:val="none"/>
        </w:rPr>
        <w:t>②</w:t>
      </w:r>
      <w:r>
        <w:rPr>
          <w:rFonts w:ascii="宋体" w:hAnsi="宋体" w:eastAsia="宋体" w:cs="宋体"/>
          <w:color w:val="auto"/>
          <w:spacing w:val="0"/>
          <w:sz w:val="24"/>
          <w:szCs w:val="24"/>
          <w:highlight w:val="none"/>
        </w:rPr>
        <w:t>车辆、设备日常管理方案；</w:t>
      </w:r>
      <w:r>
        <w:rPr>
          <w:rFonts w:hint="eastAsia" w:ascii="宋体" w:hAnsi="宋体" w:eastAsia="宋体" w:cs="宋体"/>
          <w:color w:val="auto"/>
          <w:spacing w:val="0"/>
          <w:sz w:val="24"/>
          <w:szCs w:val="24"/>
          <w:highlight w:val="none"/>
        </w:rPr>
        <w:t>③</w:t>
      </w:r>
      <w:r>
        <w:rPr>
          <w:rFonts w:ascii="宋体" w:hAnsi="宋体" w:eastAsia="宋体" w:cs="宋体"/>
          <w:color w:val="auto"/>
          <w:spacing w:val="0"/>
          <w:sz w:val="24"/>
          <w:szCs w:val="24"/>
          <w:highlight w:val="none"/>
        </w:rPr>
        <w:t>车辆、设施设备后期维护保养方案等。</w:t>
      </w:r>
      <w:r>
        <w:rPr>
          <w:rFonts w:hint="eastAsia" w:ascii="宋体" w:hAnsi="宋体" w:eastAsia="宋体" w:cs="宋体"/>
          <w:color w:val="auto"/>
          <w:spacing w:val="0"/>
          <w:sz w:val="24"/>
          <w:szCs w:val="24"/>
          <w:highlight w:val="none"/>
        </w:rPr>
        <w:t>方案内容</w:t>
      </w:r>
      <w:r>
        <w:rPr>
          <w:rFonts w:hint="eastAsia" w:ascii="宋体" w:hAnsi="宋体" w:cs="宋体"/>
          <w:color w:val="auto"/>
          <w:spacing w:val="0"/>
          <w:sz w:val="24"/>
          <w:szCs w:val="24"/>
          <w:highlight w:val="none"/>
          <w:lang w:val="en-US" w:eastAsia="zh-CN"/>
        </w:rPr>
        <w:t>全面且</w:t>
      </w:r>
      <w:r>
        <w:rPr>
          <w:rFonts w:hint="eastAsia" w:ascii="宋体" w:hAnsi="宋体" w:eastAsia="宋体" w:cs="宋体"/>
          <w:color w:val="auto"/>
          <w:spacing w:val="0"/>
          <w:sz w:val="24"/>
          <w:szCs w:val="24"/>
          <w:highlight w:val="none"/>
        </w:rPr>
        <w:t>优于项目需求的得</w:t>
      </w:r>
      <w:r>
        <w:rPr>
          <w:rFonts w:hint="eastAsia" w:ascii="宋体" w:hAnsi="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分；方案内容</w:t>
      </w:r>
      <w:r>
        <w:rPr>
          <w:rFonts w:hint="eastAsia" w:ascii="宋体" w:hAnsi="宋体" w:cs="宋体"/>
          <w:color w:val="auto"/>
          <w:spacing w:val="0"/>
          <w:sz w:val="24"/>
          <w:szCs w:val="24"/>
          <w:highlight w:val="none"/>
          <w:lang w:val="en-US" w:eastAsia="zh-CN"/>
        </w:rPr>
        <w:t>完整且完全</w:t>
      </w:r>
      <w:r>
        <w:rPr>
          <w:rFonts w:hint="eastAsia" w:ascii="宋体" w:hAnsi="宋体" w:eastAsia="宋体" w:cs="宋体"/>
          <w:color w:val="auto"/>
          <w:spacing w:val="0"/>
          <w:sz w:val="24"/>
          <w:szCs w:val="24"/>
          <w:highlight w:val="none"/>
        </w:rPr>
        <w:t>满足项目需求的得</w:t>
      </w:r>
      <w:r>
        <w:rPr>
          <w:rFonts w:hint="eastAsia" w:ascii="宋体" w:hAnsi="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分；方案缺少部分内容或部分内容不满足项目需求的</w:t>
      </w:r>
      <w:r>
        <w:rPr>
          <w:rFonts w:hint="eastAsia" w:ascii="宋体" w:hAnsi="宋体" w:cs="宋体"/>
          <w:color w:val="auto"/>
          <w:spacing w:val="0"/>
          <w:sz w:val="24"/>
          <w:szCs w:val="24"/>
          <w:highlight w:val="none"/>
          <w:lang w:val="en-US" w:eastAsia="zh-CN"/>
        </w:rPr>
        <w:t>得4分；</w:t>
      </w:r>
      <w:r>
        <w:rPr>
          <w:rFonts w:hint="eastAsia" w:ascii="宋体" w:hAnsi="宋体" w:eastAsia="宋体" w:cs="宋体"/>
          <w:color w:val="auto"/>
          <w:spacing w:val="0"/>
          <w:sz w:val="24"/>
          <w:szCs w:val="24"/>
          <w:highlight w:val="none"/>
        </w:rPr>
        <w:t>方案内容完全不满足项目需求或未提供的</w:t>
      </w:r>
      <w:r>
        <w:rPr>
          <w:rFonts w:hint="eastAsia" w:ascii="宋体" w:hAnsi="宋体" w:cs="宋体"/>
          <w:color w:val="auto"/>
          <w:spacing w:val="0"/>
          <w:sz w:val="24"/>
          <w:szCs w:val="24"/>
          <w:highlight w:val="none"/>
          <w:lang w:eastAsia="zh-CN"/>
        </w:rPr>
        <w:t>，</w:t>
      </w:r>
      <w:r>
        <w:rPr>
          <w:rFonts w:hint="eastAsia" w:ascii="宋体" w:hAnsi="宋体" w:cs="宋体"/>
          <w:color w:val="auto"/>
          <w:spacing w:val="0"/>
          <w:sz w:val="24"/>
          <w:szCs w:val="24"/>
          <w:highlight w:val="none"/>
          <w:lang w:val="en-US" w:eastAsia="zh-CN"/>
        </w:rPr>
        <w:t>不得分</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0</w:t>
      </w:r>
      <w:r>
        <w:rPr>
          <w:rFonts w:hint="eastAsia" w:ascii="宋体" w:hAnsi="宋体" w:cs="宋体"/>
          <w:color w:val="auto"/>
          <w:spacing w:val="0"/>
          <w:sz w:val="24"/>
          <w:szCs w:val="24"/>
          <w:highlight w:val="none"/>
          <w:lang w:val="en-US" w:eastAsia="zh-CN"/>
        </w:rPr>
        <w:t>/4/5/6</w:t>
      </w:r>
      <w:r>
        <w:rPr>
          <w:rFonts w:hint="eastAsia" w:ascii="宋体" w:hAnsi="宋体" w:eastAsia="宋体" w:cs="宋体"/>
          <w:color w:val="auto"/>
          <w:spacing w:val="0"/>
          <w:sz w:val="24"/>
          <w:szCs w:val="24"/>
          <w:highlight w:val="none"/>
          <w:lang w:eastAsia="zh-CN"/>
        </w:rPr>
        <w:t>】</w:t>
      </w:r>
    </w:p>
    <w:p w14:paraId="333F2F31">
      <w:pPr>
        <w:keepNext w:val="0"/>
        <w:keepLines w:val="0"/>
        <w:pageBreakBefore w:val="0"/>
        <w:widowControl w:val="0"/>
        <w:kinsoku/>
        <w:wordWrap/>
        <w:overflowPunct/>
        <w:topLinePunct w:val="0"/>
        <w:autoSpaceDE/>
        <w:autoSpaceDN/>
        <w:bidi w:val="0"/>
        <w:adjustRightInd/>
        <w:snapToGrid/>
        <w:spacing w:line="360" w:lineRule="auto"/>
        <w:ind w:left="525"/>
        <w:textAlignment w:val="auto"/>
        <w:rPr>
          <w:rFonts w:ascii="宋体" w:hAnsi="宋体" w:eastAsia="宋体" w:cs="宋体"/>
          <w:b/>
          <w:bCs/>
          <w:spacing w:val="0"/>
          <w:sz w:val="24"/>
          <w:szCs w:val="24"/>
          <w:highlight w:val="none"/>
        </w:rPr>
      </w:pPr>
    </w:p>
    <w:p w14:paraId="16A16279">
      <w:pPr>
        <w:keepNext w:val="0"/>
        <w:keepLines w:val="0"/>
        <w:pageBreakBefore w:val="0"/>
        <w:widowControl w:val="0"/>
        <w:kinsoku/>
        <w:wordWrap/>
        <w:overflowPunct/>
        <w:topLinePunct w:val="0"/>
        <w:autoSpaceDE/>
        <w:autoSpaceDN/>
        <w:bidi w:val="0"/>
        <w:adjustRightInd/>
        <w:snapToGrid/>
        <w:spacing w:line="360" w:lineRule="auto"/>
        <w:ind w:left="525"/>
        <w:textAlignment w:val="auto"/>
        <w:rPr>
          <w:rFonts w:ascii="宋体" w:hAnsi="宋体" w:eastAsia="宋体" w:cs="宋体"/>
          <w:spacing w:val="0"/>
          <w:sz w:val="24"/>
          <w:szCs w:val="24"/>
          <w:highlight w:val="none"/>
        </w:rPr>
      </w:pPr>
      <w:r>
        <w:rPr>
          <w:rFonts w:ascii="宋体" w:hAnsi="宋体" w:eastAsia="宋体" w:cs="宋体"/>
          <w:b/>
          <w:bCs/>
          <w:spacing w:val="0"/>
          <w:sz w:val="24"/>
          <w:szCs w:val="24"/>
          <w:highlight w:val="none"/>
        </w:rPr>
        <w:t>3</w:t>
      </w:r>
      <w:r>
        <w:rPr>
          <w:rFonts w:ascii="宋体" w:hAnsi="宋体" w:eastAsia="宋体" w:cs="宋体"/>
          <w:spacing w:val="0"/>
          <w:sz w:val="24"/>
          <w:szCs w:val="24"/>
          <w:highlight w:val="none"/>
        </w:rPr>
        <w:t xml:space="preserve"> </w:t>
      </w:r>
      <w:r>
        <w:rPr>
          <w:rFonts w:ascii="宋体" w:hAnsi="宋体" w:eastAsia="宋体" w:cs="宋体"/>
          <w:b/>
          <w:bCs/>
          <w:spacing w:val="0"/>
          <w:sz w:val="24"/>
          <w:szCs w:val="24"/>
          <w:highlight w:val="none"/>
        </w:rPr>
        <w:t>人员配备</w:t>
      </w:r>
      <w:r>
        <w:rPr>
          <w:rFonts w:ascii="宋体" w:hAnsi="宋体" w:eastAsia="宋体" w:cs="宋体"/>
          <w:spacing w:val="0"/>
          <w:sz w:val="24"/>
          <w:szCs w:val="24"/>
          <w:highlight w:val="none"/>
        </w:rPr>
        <w:t xml:space="preserve"> </w:t>
      </w:r>
      <w:r>
        <w:rPr>
          <w:rFonts w:hint="eastAsia" w:ascii="宋体" w:hAnsi="宋体" w:cs="宋体"/>
          <w:b/>
          <w:bCs/>
          <w:spacing w:val="0"/>
          <w:sz w:val="24"/>
          <w:szCs w:val="24"/>
          <w:highlight w:val="none"/>
          <w:lang w:val="en-US" w:eastAsia="zh-CN"/>
        </w:rPr>
        <w:t>6</w:t>
      </w:r>
      <w:r>
        <w:rPr>
          <w:rFonts w:ascii="宋体" w:hAnsi="宋体" w:eastAsia="宋体" w:cs="宋体"/>
          <w:b/>
          <w:bCs/>
          <w:spacing w:val="0"/>
          <w:sz w:val="24"/>
          <w:szCs w:val="24"/>
          <w:highlight w:val="none"/>
        </w:rPr>
        <w:t>.0</w:t>
      </w:r>
      <w:r>
        <w:rPr>
          <w:rFonts w:ascii="宋体" w:hAnsi="宋体" w:eastAsia="宋体" w:cs="宋体"/>
          <w:spacing w:val="0"/>
          <w:sz w:val="24"/>
          <w:szCs w:val="24"/>
          <w:highlight w:val="none"/>
        </w:rPr>
        <w:t xml:space="preserve"> </w:t>
      </w:r>
      <w:r>
        <w:rPr>
          <w:rFonts w:ascii="宋体" w:hAnsi="宋体" w:eastAsia="宋体" w:cs="宋体"/>
          <w:b/>
          <w:bCs/>
          <w:spacing w:val="0"/>
          <w:sz w:val="24"/>
          <w:szCs w:val="24"/>
          <w:highlight w:val="none"/>
        </w:rPr>
        <w:t>分</w:t>
      </w:r>
    </w:p>
    <w:p w14:paraId="70055749">
      <w:pPr>
        <w:keepNext w:val="0"/>
        <w:keepLines w:val="0"/>
        <w:pageBreakBefore w:val="0"/>
        <w:widowControl w:val="0"/>
        <w:kinsoku/>
        <w:wordWrap/>
        <w:overflowPunct/>
        <w:topLinePunct w:val="0"/>
        <w:autoSpaceDE/>
        <w:autoSpaceDN/>
        <w:bidi w:val="0"/>
        <w:adjustRightInd/>
        <w:snapToGrid/>
        <w:spacing w:line="360" w:lineRule="auto"/>
        <w:ind w:left="525"/>
        <w:textAlignment w:val="auto"/>
        <w:rPr>
          <w:rFonts w:ascii="宋体" w:hAnsi="宋体" w:eastAsia="宋体" w:cs="宋体"/>
          <w:spacing w:val="0"/>
          <w:sz w:val="24"/>
          <w:szCs w:val="24"/>
          <w:highlight w:val="none"/>
        </w:rPr>
      </w:pPr>
      <w:r>
        <w:rPr>
          <w:rFonts w:ascii="宋体" w:hAnsi="宋体" w:eastAsia="宋体" w:cs="宋体"/>
          <w:spacing w:val="0"/>
          <w:sz w:val="24"/>
          <w:szCs w:val="24"/>
          <w:highlight w:val="none"/>
        </w:rPr>
        <w:t>3.1.项目经理</w:t>
      </w:r>
    </w:p>
    <w:p w14:paraId="7B78539A">
      <w:pPr>
        <w:keepNext w:val="0"/>
        <w:keepLines w:val="0"/>
        <w:pageBreakBefore w:val="0"/>
        <w:widowControl w:val="0"/>
        <w:kinsoku/>
        <w:wordWrap/>
        <w:overflowPunct/>
        <w:topLinePunct w:val="0"/>
        <w:autoSpaceDE/>
        <w:autoSpaceDN/>
        <w:bidi w:val="0"/>
        <w:adjustRightInd/>
        <w:snapToGrid/>
        <w:spacing w:line="360" w:lineRule="auto"/>
        <w:ind w:left="21" w:right="28" w:firstLine="501"/>
        <w:textAlignment w:val="auto"/>
        <w:rPr>
          <w:rFonts w:ascii="宋体" w:hAnsi="宋体" w:eastAsia="宋体" w:cs="宋体"/>
          <w:spacing w:val="0"/>
          <w:sz w:val="24"/>
          <w:szCs w:val="24"/>
          <w:highlight w:val="none"/>
        </w:rPr>
      </w:pPr>
      <w:r>
        <w:rPr>
          <w:rFonts w:ascii="宋体" w:hAnsi="宋体" w:eastAsia="宋体" w:cs="宋体"/>
          <w:spacing w:val="0"/>
          <w:sz w:val="24"/>
          <w:szCs w:val="24"/>
          <w:highlight w:val="none"/>
        </w:rPr>
        <w:t>投标人拟派项目经理具有园林绿化</w:t>
      </w:r>
      <w:r>
        <w:rPr>
          <w:rFonts w:hint="eastAsia" w:ascii="宋体" w:hAnsi="宋体" w:eastAsia="宋体" w:cs="宋体"/>
          <w:spacing w:val="0"/>
          <w:sz w:val="24"/>
          <w:szCs w:val="24"/>
          <w:highlight w:val="none"/>
          <w:lang w:val="en-US" w:eastAsia="zh-CN"/>
        </w:rPr>
        <w:t>类中级</w:t>
      </w:r>
      <w:r>
        <w:rPr>
          <w:rFonts w:ascii="宋体" w:hAnsi="宋体" w:eastAsia="宋体" w:cs="宋体"/>
          <w:spacing w:val="0"/>
          <w:sz w:val="24"/>
          <w:szCs w:val="24"/>
          <w:highlight w:val="none"/>
        </w:rPr>
        <w:t>职称的得1分；具有园林绿化</w:t>
      </w:r>
      <w:r>
        <w:rPr>
          <w:rFonts w:hint="eastAsia" w:ascii="宋体" w:hAnsi="宋体" w:eastAsia="宋体" w:cs="宋体"/>
          <w:spacing w:val="0"/>
          <w:sz w:val="24"/>
          <w:szCs w:val="24"/>
          <w:highlight w:val="none"/>
          <w:lang w:val="en-US" w:eastAsia="zh-CN"/>
        </w:rPr>
        <w:t>类高</w:t>
      </w:r>
      <w:r>
        <w:rPr>
          <w:rFonts w:ascii="宋体" w:hAnsi="宋体" w:eastAsia="宋体" w:cs="宋体"/>
          <w:spacing w:val="0"/>
          <w:sz w:val="24"/>
          <w:szCs w:val="24"/>
          <w:highlight w:val="none"/>
        </w:rPr>
        <w:t>级职称的得</w:t>
      </w:r>
      <w:r>
        <w:rPr>
          <w:rFonts w:hint="eastAsia" w:ascii="宋体" w:hAnsi="宋体" w:eastAsia="宋体" w:cs="宋体"/>
          <w:spacing w:val="0"/>
          <w:sz w:val="24"/>
          <w:szCs w:val="24"/>
          <w:highlight w:val="none"/>
          <w:lang w:val="en-US" w:eastAsia="zh-CN"/>
        </w:rPr>
        <w:t>2</w:t>
      </w:r>
      <w:r>
        <w:rPr>
          <w:rFonts w:ascii="宋体" w:hAnsi="宋体" w:eastAsia="宋体" w:cs="宋体"/>
          <w:spacing w:val="0"/>
          <w:sz w:val="24"/>
          <w:szCs w:val="24"/>
          <w:highlight w:val="none"/>
        </w:rPr>
        <w:t>分。</w:t>
      </w:r>
      <w:r>
        <w:rPr>
          <w:rFonts w:hint="eastAsia" w:ascii="宋体" w:hAnsi="宋体" w:eastAsia="宋体" w:cs="宋体"/>
          <w:color w:val="auto"/>
          <w:sz w:val="24"/>
          <w:szCs w:val="24"/>
          <w:highlight w:val="none"/>
        </w:rPr>
        <w:t>按最高级别计分，不重复计分，最高得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ascii="宋体" w:hAnsi="宋体" w:eastAsia="宋体" w:cs="宋体"/>
          <w:spacing w:val="0"/>
          <w:sz w:val="24"/>
          <w:szCs w:val="24"/>
          <w:highlight w:val="none"/>
        </w:rPr>
        <w:t>（请在投标文件中提供相关证书及</w:t>
      </w:r>
      <w:r>
        <w:rPr>
          <w:rFonts w:hint="eastAsia" w:ascii="宋体" w:hAnsi="宋体" w:eastAsia="宋体" w:cs="宋体"/>
          <w:spacing w:val="0"/>
          <w:sz w:val="24"/>
          <w:szCs w:val="24"/>
          <w:highlight w:val="none"/>
          <w:lang w:val="en-US" w:eastAsia="zh-CN"/>
        </w:rPr>
        <w:t>投标人</w:t>
      </w:r>
      <w:r>
        <w:rPr>
          <w:rFonts w:hint="eastAsia" w:ascii="宋体" w:hAnsi="宋体" w:cs="宋体"/>
          <w:spacing w:val="0"/>
          <w:sz w:val="24"/>
          <w:szCs w:val="24"/>
          <w:highlight w:val="none"/>
          <w:lang w:val="en-US" w:eastAsia="zh-CN"/>
        </w:rPr>
        <w:t>近期</w:t>
      </w:r>
      <w:r>
        <w:rPr>
          <w:rFonts w:hint="eastAsia" w:ascii="宋体" w:hAnsi="宋体" w:eastAsia="宋体" w:cs="宋体"/>
          <w:spacing w:val="0"/>
          <w:sz w:val="24"/>
          <w:szCs w:val="24"/>
          <w:highlight w:val="none"/>
          <w:lang w:val="en-US" w:eastAsia="zh-CN"/>
        </w:rPr>
        <w:t>为其缴纳的</w:t>
      </w:r>
      <w:r>
        <w:rPr>
          <w:rFonts w:ascii="宋体" w:hAnsi="宋体" w:eastAsia="宋体" w:cs="宋体"/>
          <w:spacing w:val="0"/>
          <w:sz w:val="24"/>
          <w:szCs w:val="24"/>
          <w:highlight w:val="none"/>
        </w:rPr>
        <w:t>社保缴纳证明</w:t>
      </w:r>
      <w:r>
        <w:rPr>
          <w:rFonts w:hint="eastAsia" w:ascii="宋体" w:hAnsi="宋体" w:cs="宋体"/>
          <w:spacing w:val="0"/>
          <w:sz w:val="24"/>
          <w:szCs w:val="24"/>
          <w:highlight w:val="none"/>
          <w:lang w:val="en-US" w:eastAsia="zh-CN"/>
        </w:rPr>
        <w:t>复印件</w:t>
      </w:r>
      <w:r>
        <w:rPr>
          <w:rFonts w:ascii="宋体" w:hAnsi="宋体" w:eastAsia="宋体" w:cs="宋体"/>
          <w:spacing w:val="0"/>
          <w:sz w:val="24"/>
          <w:szCs w:val="24"/>
          <w:highlight w:val="none"/>
        </w:rPr>
        <w:t>，不提供不得分）</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0</w:t>
      </w:r>
      <w:r>
        <w:rPr>
          <w:rFonts w:hint="eastAsia" w:ascii="宋体" w:hAnsi="宋体" w:cs="宋体"/>
          <w:spacing w:val="0"/>
          <w:sz w:val="24"/>
          <w:szCs w:val="24"/>
          <w:highlight w:val="none"/>
          <w:lang w:val="en-US" w:eastAsia="zh-CN"/>
        </w:rPr>
        <w:t>/1/2</w:t>
      </w:r>
      <w:r>
        <w:rPr>
          <w:rFonts w:hint="eastAsia" w:ascii="宋体" w:hAnsi="宋体" w:eastAsia="宋体" w:cs="宋体"/>
          <w:spacing w:val="0"/>
          <w:sz w:val="24"/>
          <w:szCs w:val="24"/>
          <w:highlight w:val="none"/>
          <w:lang w:eastAsia="zh-CN"/>
        </w:rPr>
        <w:t>】</w:t>
      </w:r>
    </w:p>
    <w:p w14:paraId="4D965D3F">
      <w:pPr>
        <w:keepNext w:val="0"/>
        <w:keepLines w:val="0"/>
        <w:pageBreakBefore w:val="0"/>
        <w:widowControl w:val="0"/>
        <w:kinsoku/>
        <w:wordWrap/>
        <w:overflowPunct/>
        <w:topLinePunct w:val="0"/>
        <w:autoSpaceDE/>
        <w:autoSpaceDN/>
        <w:bidi w:val="0"/>
        <w:adjustRightInd/>
        <w:snapToGrid/>
        <w:spacing w:line="360" w:lineRule="auto"/>
        <w:ind w:left="525"/>
        <w:textAlignment w:val="auto"/>
        <w:rPr>
          <w:rFonts w:ascii="宋体" w:hAnsi="宋体" w:eastAsia="宋体" w:cs="宋体"/>
          <w:spacing w:val="0"/>
          <w:sz w:val="24"/>
          <w:szCs w:val="24"/>
          <w:highlight w:val="none"/>
        </w:rPr>
      </w:pPr>
      <w:r>
        <w:rPr>
          <w:rFonts w:ascii="宋体" w:hAnsi="宋体" w:eastAsia="宋体" w:cs="宋体"/>
          <w:spacing w:val="0"/>
          <w:sz w:val="24"/>
          <w:szCs w:val="24"/>
          <w:highlight w:val="none"/>
        </w:rPr>
        <w:t>3.2.现场养护负责人</w:t>
      </w:r>
    </w:p>
    <w:p w14:paraId="14E38D47">
      <w:pPr>
        <w:keepNext w:val="0"/>
        <w:keepLines w:val="0"/>
        <w:pageBreakBefore w:val="0"/>
        <w:widowControl w:val="0"/>
        <w:kinsoku/>
        <w:wordWrap/>
        <w:overflowPunct/>
        <w:topLinePunct w:val="0"/>
        <w:autoSpaceDE/>
        <w:autoSpaceDN/>
        <w:bidi w:val="0"/>
        <w:adjustRightInd/>
        <w:snapToGrid/>
        <w:spacing w:line="360" w:lineRule="auto"/>
        <w:ind w:left="21" w:right="28" w:firstLine="501"/>
        <w:textAlignment w:val="auto"/>
        <w:rPr>
          <w:rFonts w:ascii="宋体" w:hAnsi="宋体" w:eastAsia="宋体" w:cs="宋体"/>
          <w:spacing w:val="0"/>
          <w:sz w:val="24"/>
          <w:szCs w:val="24"/>
          <w:highlight w:val="none"/>
        </w:rPr>
      </w:pPr>
      <w:r>
        <w:rPr>
          <w:rFonts w:ascii="宋体" w:hAnsi="宋体" w:eastAsia="宋体" w:cs="宋体"/>
          <w:spacing w:val="0"/>
          <w:sz w:val="24"/>
          <w:szCs w:val="24"/>
          <w:highlight w:val="none"/>
        </w:rPr>
        <w:t>投标人拟派现场养护负责人具有园林绿化</w:t>
      </w:r>
      <w:r>
        <w:rPr>
          <w:rFonts w:hint="eastAsia" w:ascii="宋体" w:hAnsi="宋体" w:eastAsia="宋体" w:cs="宋体"/>
          <w:spacing w:val="0"/>
          <w:sz w:val="24"/>
          <w:szCs w:val="24"/>
          <w:highlight w:val="none"/>
          <w:lang w:val="en-US" w:eastAsia="zh-CN"/>
        </w:rPr>
        <w:t>类初级</w:t>
      </w:r>
      <w:r>
        <w:rPr>
          <w:rFonts w:ascii="宋体" w:hAnsi="宋体" w:eastAsia="宋体" w:cs="宋体"/>
          <w:spacing w:val="0"/>
          <w:sz w:val="24"/>
          <w:szCs w:val="24"/>
          <w:highlight w:val="none"/>
        </w:rPr>
        <w:t>职称的得1分；具有园林绿化</w:t>
      </w:r>
      <w:r>
        <w:rPr>
          <w:rFonts w:hint="eastAsia" w:ascii="宋体" w:hAnsi="宋体" w:eastAsia="宋体" w:cs="宋体"/>
          <w:spacing w:val="0"/>
          <w:sz w:val="24"/>
          <w:szCs w:val="24"/>
          <w:highlight w:val="none"/>
          <w:lang w:val="en-US" w:eastAsia="zh-CN"/>
        </w:rPr>
        <w:t>类中级及</w:t>
      </w:r>
      <w:r>
        <w:rPr>
          <w:rFonts w:ascii="宋体" w:hAnsi="宋体" w:eastAsia="宋体" w:cs="宋体"/>
          <w:spacing w:val="0"/>
          <w:sz w:val="24"/>
          <w:szCs w:val="24"/>
          <w:highlight w:val="none"/>
        </w:rPr>
        <w:t>以上职称的得2分。</w:t>
      </w:r>
      <w:r>
        <w:rPr>
          <w:rFonts w:hint="eastAsia" w:ascii="宋体" w:hAnsi="宋体" w:eastAsia="宋体" w:cs="宋体"/>
          <w:color w:val="auto"/>
          <w:sz w:val="24"/>
          <w:szCs w:val="24"/>
          <w:highlight w:val="none"/>
        </w:rPr>
        <w:t>按最高级别计分，不重复计分，最高得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ascii="宋体" w:hAnsi="宋体" w:eastAsia="宋体" w:cs="宋体"/>
          <w:spacing w:val="0"/>
          <w:sz w:val="24"/>
          <w:szCs w:val="24"/>
          <w:highlight w:val="none"/>
        </w:rPr>
        <w:t>（请在投标文件中提供相关证书及</w:t>
      </w:r>
      <w:r>
        <w:rPr>
          <w:rFonts w:hint="eastAsia" w:ascii="宋体" w:hAnsi="宋体" w:eastAsia="宋体" w:cs="宋体"/>
          <w:spacing w:val="0"/>
          <w:sz w:val="24"/>
          <w:szCs w:val="24"/>
          <w:highlight w:val="none"/>
          <w:lang w:val="en-US" w:eastAsia="zh-CN"/>
        </w:rPr>
        <w:t>投标人</w:t>
      </w:r>
      <w:r>
        <w:rPr>
          <w:rFonts w:hint="eastAsia" w:ascii="宋体" w:hAnsi="宋体" w:cs="宋体"/>
          <w:spacing w:val="0"/>
          <w:sz w:val="24"/>
          <w:szCs w:val="24"/>
          <w:highlight w:val="none"/>
          <w:lang w:val="en-US" w:eastAsia="zh-CN"/>
        </w:rPr>
        <w:t>近期</w:t>
      </w:r>
      <w:r>
        <w:rPr>
          <w:rFonts w:hint="eastAsia" w:ascii="宋体" w:hAnsi="宋体" w:eastAsia="宋体" w:cs="宋体"/>
          <w:spacing w:val="0"/>
          <w:sz w:val="24"/>
          <w:szCs w:val="24"/>
          <w:highlight w:val="none"/>
          <w:lang w:val="en-US" w:eastAsia="zh-CN"/>
        </w:rPr>
        <w:t>为其缴纳的</w:t>
      </w:r>
      <w:r>
        <w:rPr>
          <w:rFonts w:ascii="宋体" w:hAnsi="宋体" w:eastAsia="宋体" w:cs="宋体"/>
          <w:spacing w:val="0"/>
          <w:sz w:val="24"/>
          <w:szCs w:val="24"/>
          <w:highlight w:val="none"/>
        </w:rPr>
        <w:t>社保缴纳证明</w:t>
      </w:r>
      <w:r>
        <w:rPr>
          <w:rFonts w:hint="eastAsia" w:ascii="宋体" w:hAnsi="宋体" w:cs="宋体"/>
          <w:spacing w:val="0"/>
          <w:sz w:val="24"/>
          <w:szCs w:val="24"/>
          <w:highlight w:val="none"/>
          <w:lang w:val="en-US" w:eastAsia="zh-CN"/>
        </w:rPr>
        <w:t>复印件</w:t>
      </w:r>
      <w:r>
        <w:rPr>
          <w:rFonts w:ascii="宋体" w:hAnsi="宋体" w:eastAsia="宋体" w:cs="宋体"/>
          <w:spacing w:val="0"/>
          <w:sz w:val="24"/>
          <w:szCs w:val="24"/>
          <w:highlight w:val="none"/>
        </w:rPr>
        <w:t>，不提供不得分）</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0</w:t>
      </w:r>
      <w:r>
        <w:rPr>
          <w:rFonts w:hint="eastAsia" w:ascii="宋体" w:hAnsi="宋体" w:cs="宋体"/>
          <w:spacing w:val="0"/>
          <w:sz w:val="24"/>
          <w:szCs w:val="24"/>
          <w:highlight w:val="none"/>
          <w:lang w:val="en-US" w:eastAsia="zh-CN"/>
        </w:rPr>
        <w:t>/1/2</w:t>
      </w:r>
      <w:r>
        <w:rPr>
          <w:rFonts w:hint="eastAsia" w:ascii="宋体" w:hAnsi="宋体" w:eastAsia="宋体" w:cs="宋体"/>
          <w:spacing w:val="0"/>
          <w:sz w:val="24"/>
          <w:szCs w:val="24"/>
          <w:highlight w:val="none"/>
          <w:lang w:eastAsia="zh-CN"/>
        </w:rPr>
        <w:t>】</w:t>
      </w:r>
    </w:p>
    <w:p w14:paraId="38D774E7">
      <w:pPr>
        <w:keepNext w:val="0"/>
        <w:keepLines w:val="0"/>
        <w:pageBreakBefore w:val="0"/>
        <w:widowControl w:val="0"/>
        <w:kinsoku/>
        <w:wordWrap/>
        <w:overflowPunct/>
        <w:topLinePunct w:val="0"/>
        <w:autoSpaceDE/>
        <w:autoSpaceDN/>
        <w:bidi w:val="0"/>
        <w:adjustRightInd/>
        <w:snapToGrid/>
        <w:spacing w:line="360" w:lineRule="auto"/>
        <w:ind w:left="525"/>
        <w:textAlignment w:val="auto"/>
        <w:rPr>
          <w:rFonts w:ascii="宋体" w:hAnsi="宋体" w:eastAsia="宋体" w:cs="宋体"/>
          <w:spacing w:val="0"/>
          <w:sz w:val="24"/>
          <w:szCs w:val="24"/>
          <w:highlight w:val="none"/>
        </w:rPr>
      </w:pPr>
      <w:r>
        <w:rPr>
          <w:rFonts w:ascii="宋体" w:hAnsi="宋体" w:eastAsia="宋体" w:cs="宋体"/>
          <w:spacing w:val="0"/>
          <w:sz w:val="24"/>
          <w:szCs w:val="24"/>
          <w:highlight w:val="none"/>
        </w:rPr>
        <w:t>3.3.现场养护技术人员</w:t>
      </w:r>
    </w:p>
    <w:p w14:paraId="46D706E0">
      <w:pPr>
        <w:keepNext w:val="0"/>
        <w:keepLines w:val="0"/>
        <w:pageBreakBefore w:val="0"/>
        <w:widowControl w:val="0"/>
        <w:kinsoku/>
        <w:wordWrap/>
        <w:overflowPunct/>
        <w:topLinePunct w:val="0"/>
        <w:autoSpaceDE/>
        <w:autoSpaceDN/>
        <w:bidi w:val="0"/>
        <w:adjustRightInd/>
        <w:snapToGrid/>
        <w:spacing w:line="360" w:lineRule="auto"/>
        <w:ind w:left="21" w:right="28" w:firstLine="501"/>
        <w:textAlignment w:val="auto"/>
        <w:rPr>
          <w:rFonts w:hint="eastAsia" w:ascii="宋体" w:hAnsi="宋体" w:eastAsia="宋体" w:cs="宋体"/>
          <w:spacing w:val="0"/>
          <w:sz w:val="24"/>
          <w:szCs w:val="24"/>
          <w:highlight w:val="none"/>
          <w:lang w:eastAsia="zh-CN"/>
        </w:rPr>
      </w:pPr>
      <w:r>
        <w:rPr>
          <w:rFonts w:ascii="宋体" w:hAnsi="宋体" w:eastAsia="宋体" w:cs="宋体"/>
          <w:spacing w:val="0"/>
          <w:sz w:val="24"/>
          <w:szCs w:val="24"/>
          <w:highlight w:val="none"/>
        </w:rPr>
        <w:t>投标人拟派现场养护</w:t>
      </w:r>
      <w:r>
        <w:rPr>
          <w:rFonts w:hint="eastAsia" w:ascii="宋体" w:hAnsi="宋体" w:eastAsia="宋体" w:cs="宋体"/>
          <w:spacing w:val="0"/>
          <w:sz w:val="24"/>
          <w:szCs w:val="24"/>
          <w:highlight w:val="none"/>
          <w:lang w:val="en-US" w:eastAsia="zh-CN"/>
        </w:rPr>
        <w:t>技术人员</w:t>
      </w:r>
      <w:r>
        <w:rPr>
          <w:rFonts w:ascii="宋体" w:hAnsi="宋体" w:eastAsia="宋体" w:cs="宋体"/>
          <w:spacing w:val="0"/>
          <w:sz w:val="24"/>
          <w:szCs w:val="24"/>
          <w:highlight w:val="none"/>
        </w:rPr>
        <w:t>具有园林绿化</w:t>
      </w:r>
      <w:r>
        <w:rPr>
          <w:rFonts w:hint="eastAsia" w:ascii="宋体" w:hAnsi="宋体" w:eastAsia="宋体" w:cs="宋体"/>
          <w:spacing w:val="0"/>
          <w:sz w:val="24"/>
          <w:szCs w:val="24"/>
          <w:highlight w:val="none"/>
          <w:lang w:val="en-US" w:eastAsia="zh-CN"/>
        </w:rPr>
        <w:t>类初级</w:t>
      </w:r>
      <w:r>
        <w:rPr>
          <w:rFonts w:ascii="宋体" w:hAnsi="宋体" w:eastAsia="宋体" w:cs="宋体"/>
          <w:spacing w:val="0"/>
          <w:sz w:val="24"/>
          <w:szCs w:val="24"/>
          <w:highlight w:val="none"/>
        </w:rPr>
        <w:t>职称的得1分；具有园林绿化</w:t>
      </w:r>
      <w:r>
        <w:rPr>
          <w:rFonts w:hint="eastAsia" w:ascii="宋体" w:hAnsi="宋体" w:eastAsia="宋体" w:cs="宋体"/>
          <w:spacing w:val="0"/>
          <w:sz w:val="24"/>
          <w:szCs w:val="24"/>
          <w:highlight w:val="none"/>
          <w:lang w:val="en-US" w:eastAsia="zh-CN"/>
        </w:rPr>
        <w:t>类中级及</w:t>
      </w:r>
      <w:r>
        <w:rPr>
          <w:rFonts w:ascii="宋体" w:hAnsi="宋体" w:eastAsia="宋体" w:cs="宋体"/>
          <w:spacing w:val="0"/>
          <w:sz w:val="24"/>
          <w:szCs w:val="24"/>
          <w:highlight w:val="none"/>
        </w:rPr>
        <w:t>以上职称的得2分。</w:t>
      </w:r>
      <w:r>
        <w:rPr>
          <w:rFonts w:hint="eastAsia" w:ascii="宋体" w:hAnsi="宋体" w:eastAsia="宋体" w:cs="宋体"/>
          <w:color w:val="auto"/>
          <w:sz w:val="24"/>
          <w:szCs w:val="24"/>
          <w:highlight w:val="none"/>
        </w:rPr>
        <w:t>按最高级别计分，不重复计分，最高得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ascii="宋体" w:hAnsi="宋体" w:eastAsia="宋体" w:cs="宋体"/>
          <w:spacing w:val="0"/>
          <w:sz w:val="24"/>
          <w:szCs w:val="24"/>
          <w:highlight w:val="none"/>
        </w:rPr>
        <w:t>（请在投标文件中提供相关证书及</w:t>
      </w:r>
      <w:r>
        <w:rPr>
          <w:rFonts w:hint="eastAsia" w:ascii="宋体" w:hAnsi="宋体" w:eastAsia="宋体" w:cs="宋体"/>
          <w:spacing w:val="0"/>
          <w:sz w:val="24"/>
          <w:szCs w:val="24"/>
          <w:highlight w:val="none"/>
          <w:lang w:val="en-US" w:eastAsia="zh-CN"/>
        </w:rPr>
        <w:t>投标人</w:t>
      </w:r>
      <w:r>
        <w:rPr>
          <w:rFonts w:hint="eastAsia" w:ascii="宋体" w:hAnsi="宋体" w:cs="宋体"/>
          <w:spacing w:val="0"/>
          <w:sz w:val="24"/>
          <w:szCs w:val="24"/>
          <w:highlight w:val="none"/>
          <w:lang w:val="en-US" w:eastAsia="zh-CN"/>
        </w:rPr>
        <w:t>近期</w:t>
      </w:r>
      <w:r>
        <w:rPr>
          <w:rFonts w:hint="eastAsia" w:ascii="宋体" w:hAnsi="宋体" w:eastAsia="宋体" w:cs="宋体"/>
          <w:spacing w:val="0"/>
          <w:sz w:val="24"/>
          <w:szCs w:val="24"/>
          <w:highlight w:val="none"/>
          <w:lang w:val="en-US" w:eastAsia="zh-CN"/>
        </w:rPr>
        <w:t>为其缴纳的</w:t>
      </w:r>
      <w:r>
        <w:rPr>
          <w:rFonts w:ascii="宋体" w:hAnsi="宋体" w:eastAsia="宋体" w:cs="宋体"/>
          <w:spacing w:val="0"/>
          <w:sz w:val="24"/>
          <w:szCs w:val="24"/>
          <w:highlight w:val="none"/>
        </w:rPr>
        <w:t>社保缴纳证明</w:t>
      </w:r>
      <w:r>
        <w:rPr>
          <w:rFonts w:hint="eastAsia" w:ascii="宋体" w:hAnsi="宋体" w:cs="宋体"/>
          <w:spacing w:val="0"/>
          <w:sz w:val="24"/>
          <w:szCs w:val="24"/>
          <w:highlight w:val="none"/>
          <w:lang w:val="en-US" w:eastAsia="zh-CN"/>
        </w:rPr>
        <w:t>复印件</w:t>
      </w:r>
      <w:r>
        <w:rPr>
          <w:rFonts w:ascii="宋体" w:hAnsi="宋体" w:eastAsia="宋体" w:cs="宋体"/>
          <w:spacing w:val="0"/>
          <w:sz w:val="24"/>
          <w:szCs w:val="24"/>
          <w:highlight w:val="none"/>
        </w:rPr>
        <w:t>，不提供不得分）</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0</w:t>
      </w:r>
      <w:r>
        <w:rPr>
          <w:rFonts w:hint="eastAsia" w:ascii="宋体" w:hAnsi="宋体" w:cs="宋体"/>
          <w:spacing w:val="0"/>
          <w:sz w:val="24"/>
          <w:szCs w:val="24"/>
          <w:highlight w:val="none"/>
          <w:lang w:val="en-US" w:eastAsia="zh-CN"/>
        </w:rPr>
        <w:t>/1/2</w:t>
      </w:r>
      <w:r>
        <w:rPr>
          <w:rFonts w:hint="eastAsia" w:ascii="宋体" w:hAnsi="宋体" w:eastAsia="宋体" w:cs="宋体"/>
          <w:spacing w:val="0"/>
          <w:sz w:val="24"/>
          <w:szCs w:val="24"/>
          <w:highlight w:val="none"/>
          <w:lang w:eastAsia="zh-CN"/>
        </w:rPr>
        <w:t>】</w:t>
      </w:r>
    </w:p>
    <w:p w14:paraId="54E371CE">
      <w:pPr>
        <w:pStyle w:val="31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right="-107" w:rightChars="-51" w:firstLine="480" w:firstLineChars="200"/>
        <w:textAlignment w:val="auto"/>
        <w:rPr>
          <w:rStyle w:val="38"/>
          <w:rFonts w:hint="eastAsia" w:ascii="宋体" w:hAnsi="宋体" w:eastAsia="宋体" w:cs="宋体"/>
          <w:b w:val="0"/>
          <w:i w:val="0"/>
          <w:color w:val="000000" w:themeColor="text1"/>
          <w:spacing w:val="0"/>
          <w:sz w:val="24"/>
          <w:szCs w:val="24"/>
          <w:highlight w:val="none"/>
          <w:u w:val="none"/>
          <w:lang w:val="en-US" w:eastAsia="zh-CN" w:bidi="ar-SA"/>
          <w14:textFill>
            <w14:solidFill>
              <w14:schemeClr w14:val="tx1"/>
            </w14:solidFill>
          </w14:textFill>
        </w:rPr>
      </w:pPr>
      <w:r>
        <w:rPr>
          <w:rFonts w:hint="eastAsia" w:ascii="宋体" w:hAnsi="宋体" w:eastAsia="宋体" w:cs="宋体"/>
          <w:spacing w:val="0"/>
          <w:sz w:val="24"/>
          <w:szCs w:val="24"/>
          <w:highlight w:val="none"/>
          <w:lang w:val="en-US" w:eastAsia="zh-CN"/>
        </w:rPr>
        <w:t>注：</w:t>
      </w:r>
      <w:r>
        <w:rPr>
          <w:rFonts w:hint="eastAsia" w:ascii="宋体" w:hAnsi="宋体" w:eastAsia="宋体" w:cs="宋体"/>
          <w:spacing w:val="0"/>
          <w:sz w:val="24"/>
          <w:szCs w:val="24"/>
          <w:highlight w:val="none"/>
        </w:rPr>
        <w:t>园林绿化</w:t>
      </w:r>
      <w:r>
        <w:rPr>
          <w:rFonts w:hint="eastAsia" w:ascii="宋体" w:hAnsi="宋体" w:eastAsia="宋体" w:cs="宋体"/>
          <w:spacing w:val="0"/>
          <w:sz w:val="24"/>
          <w:szCs w:val="24"/>
          <w:highlight w:val="none"/>
          <w:lang w:val="en-US" w:eastAsia="zh-CN"/>
        </w:rPr>
        <w:t>类</w:t>
      </w:r>
      <w:r>
        <w:rPr>
          <w:rFonts w:hint="eastAsia" w:ascii="宋体" w:hAnsi="宋体" w:eastAsia="宋体" w:cs="宋体"/>
          <w:spacing w:val="0"/>
          <w:sz w:val="24"/>
          <w:szCs w:val="24"/>
          <w:highlight w:val="none"/>
        </w:rPr>
        <w:t>是指与园林绿化工程规划、设计、施工及养护管理相关的专业，包括园林（含园林规划设计、园林植物、风景园林、园林绿化等）、园艺、城市规划、景观、植物（含植保、森保等）、风景旅游、环境艺术等专业。</w:t>
      </w:r>
    </w:p>
    <w:p w14:paraId="366B2774">
      <w:pPr>
        <w:keepNext w:val="0"/>
        <w:keepLines w:val="0"/>
        <w:pageBreakBefore w:val="0"/>
        <w:widowControl w:val="0"/>
        <w:kinsoku/>
        <w:wordWrap/>
        <w:overflowPunct/>
        <w:topLinePunct w:val="0"/>
        <w:autoSpaceDE/>
        <w:autoSpaceDN/>
        <w:bidi w:val="0"/>
        <w:adjustRightInd/>
        <w:snapToGrid/>
        <w:spacing w:line="360" w:lineRule="auto"/>
        <w:ind w:left="519"/>
        <w:textAlignment w:val="auto"/>
        <w:rPr>
          <w:rFonts w:ascii="宋体" w:hAnsi="宋体" w:eastAsia="宋体" w:cs="宋体"/>
          <w:b/>
          <w:bCs/>
          <w:spacing w:val="0"/>
          <w:sz w:val="24"/>
          <w:szCs w:val="24"/>
          <w:highlight w:val="none"/>
        </w:rPr>
      </w:pPr>
    </w:p>
    <w:p w14:paraId="27C696E9">
      <w:pPr>
        <w:keepNext w:val="0"/>
        <w:keepLines w:val="0"/>
        <w:pageBreakBefore w:val="0"/>
        <w:widowControl w:val="0"/>
        <w:kinsoku/>
        <w:wordWrap/>
        <w:overflowPunct/>
        <w:topLinePunct w:val="0"/>
        <w:autoSpaceDE/>
        <w:autoSpaceDN/>
        <w:bidi w:val="0"/>
        <w:adjustRightInd/>
        <w:snapToGrid/>
        <w:spacing w:line="360" w:lineRule="auto"/>
        <w:ind w:left="519"/>
        <w:textAlignment w:val="auto"/>
        <w:rPr>
          <w:rFonts w:ascii="宋体" w:hAnsi="宋体" w:eastAsia="宋体" w:cs="宋体"/>
          <w:spacing w:val="0"/>
          <w:sz w:val="24"/>
          <w:szCs w:val="24"/>
          <w:highlight w:val="none"/>
        </w:rPr>
      </w:pPr>
      <w:r>
        <w:rPr>
          <w:rFonts w:ascii="宋体" w:hAnsi="宋体" w:eastAsia="宋体" w:cs="宋体"/>
          <w:b/>
          <w:bCs/>
          <w:spacing w:val="0"/>
          <w:sz w:val="24"/>
          <w:szCs w:val="24"/>
          <w:highlight w:val="none"/>
        </w:rPr>
        <w:t>4</w:t>
      </w:r>
      <w:r>
        <w:rPr>
          <w:rFonts w:ascii="宋体" w:hAnsi="宋体" w:eastAsia="宋体" w:cs="宋体"/>
          <w:spacing w:val="0"/>
          <w:sz w:val="24"/>
          <w:szCs w:val="24"/>
          <w:highlight w:val="none"/>
        </w:rPr>
        <w:t xml:space="preserve"> </w:t>
      </w:r>
      <w:r>
        <w:rPr>
          <w:rFonts w:ascii="宋体" w:hAnsi="宋体" w:eastAsia="宋体" w:cs="宋体"/>
          <w:b/>
          <w:bCs/>
          <w:spacing w:val="0"/>
          <w:sz w:val="24"/>
          <w:szCs w:val="24"/>
          <w:highlight w:val="none"/>
        </w:rPr>
        <w:t>履约能力</w:t>
      </w:r>
      <w:r>
        <w:rPr>
          <w:rFonts w:ascii="宋体" w:hAnsi="宋体" w:eastAsia="宋体" w:cs="宋体"/>
          <w:spacing w:val="0"/>
          <w:sz w:val="24"/>
          <w:szCs w:val="24"/>
          <w:highlight w:val="none"/>
        </w:rPr>
        <w:t xml:space="preserve"> </w:t>
      </w:r>
      <w:r>
        <w:rPr>
          <w:rFonts w:hint="eastAsia" w:ascii="宋体" w:hAnsi="宋体" w:cs="宋体"/>
          <w:b/>
          <w:bCs/>
          <w:spacing w:val="0"/>
          <w:sz w:val="24"/>
          <w:szCs w:val="24"/>
          <w:highlight w:val="none"/>
          <w:lang w:val="en-US" w:eastAsia="zh-CN"/>
        </w:rPr>
        <w:t>7</w:t>
      </w:r>
      <w:r>
        <w:rPr>
          <w:rFonts w:ascii="宋体" w:hAnsi="宋体" w:eastAsia="宋体" w:cs="宋体"/>
          <w:b/>
          <w:bCs/>
          <w:spacing w:val="0"/>
          <w:sz w:val="24"/>
          <w:szCs w:val="24"/>
          <w:highlight w:val="none"/>
        </w:rPr>
        <w:t>.0</w:t>
      </w:r>
      <w:r>
        <w:rPr>
          <w:rFonts w:ascii="宋体" w:hAnsi="宋体" w:eastAsia="宋体" w:cs="宋体"/>
          <w:spacing w:val="0"/>
          <w:sz w:val="24"/>
          <w:szCs w:val="24"/>
          <w:highlight w:val="none"/>
        </w:rPr>
        <w:t xml:space="preserve"> </w:t>
      </w:r>
      <w:r>
        <w:rPr>
          <w:rFonts w:ascii="宋体" w:hAnsi="宋体" w:eastAsia="宋体" w:cs="宋体"/>
          <w:b/>
          <w:bCs/>
          <w:spacing w:val="0"/>
          <w:sz w:val="24"/>
          <w:szCs w:val="24"/>
          <w:highlight w:val="none"/>
        </w:rPr>
        <w:t>分</w:t>
      </w:r>
    </w:p>
    <w:p w14:paraId="24B2A88C">
      <w:pPr>
        <w:keepNext w:val="0"/>
        <w:keepLines w:val="0"/>
        <w:pageBreakBefore w:val="0"/>
        <w:widowControl w:val="0"/>
        <w:kinsoku/>
        <w:wordWrap/>
        <w:overflowPunct/>
        <w:topLinePunct w:val="0"/>
        <w:autoSpaceDE/>
        <w:autoSpaceDN/>
        <w:bidi w:val="0"/>
        <w:adjustRightInd/>
        <w:snapToGrid/>
        <w:spacing w:line="360" w:lineRule="auto"/>
        <w:ind w:left="519"/>
        <w:textAlignment w:val="auto"/>
        <w:rPr>
          <w:rFonts w:ascii="宋体" w:hAnsi="宋体" w:eastAsia="宋体" w:cs="宋体"/>
          <w:spacing w:val="0"/>
          <w:sz w:val="24"/>
          <w:szCs w:val="24"/>
          <w:highlight w:val="none"/>
        </w:rPr>
      </w:pPr>
      <w:r>
        <w:rPr>
          <w:rFonts w:ascii="宋体" w:hAnsi="宋体" w:eastAsia="宋体" w:cs="宋体"/>
          <w:spacing w:val="0"/>
          <w:sz w:val="24"/>
          <w:szCs w:val="24"/>
          <w:highlight w:val="none"/>
        </w:rPr>
        <w:t>4.1.类似项目业绩</w:t>
      </w:r>
    </w:p>
    <w:p w14:paraId="7D432C86">
      <w:pPr>
        <w:keepNext w:val="0"/>
        <w:keepLines w:val="0"/>
        <w:pageBreakBefore w:val="0"/>
        <w:widowControl w:val="0"/>
        <w:kinsoku/>
        <w:wordWrap/>
        <w:overflowPunct/>
        <w:topLinePunct w:val="0"/>
        <w:autoSpaceDE/>
        <w:autoSpaceDN/>
        <w:bidi w:val="0"/>
        <w:adjustRightInd/>
        <w:snapToGrid/>
        <w:spacing w:line="360" w:lineRule="auto"/>
        <w:ind w:left="24" w:right="225" w:firstLine="499"/>
        <w:textAlignment w:val="auto"/>
        <w:rPr>
          <w:rFonts w:ascii="宋体" w:hAnsi="宋体" w:eastAsia="宋体" w:cs="宋体"/>
          <w:spacing w:val="0"/>
          <w:sz w:val="24"/>
          <w:szCs w:val="24"/>
          <w:highlight w:val="none"/>
        </w:rPr>
      </w:pPr>
      <w:r>
        <w:rPr>
          <w:rFonts w:ascii="宋体" w:hAnsi="宋体" w:eastAsia="宋体" w:cs="宋体"/>
          <w:spacing w:val="0"/>
          <w:sz w:val="24"/>
          <w:szCs w:val="24"/>
          <w:highlight w:val="none"/>
        </w:rPr>
        <w:t>投标人提供202</w:t>
      </w:r>
      <w:r>
        <w:rPr>
          <w:rFonts w:hint="eastAsia" w:ascii="宋体" w:hAnsi="宋体" w:eastAsia="宋体" w:cs="宋体"/>
          <w:spacing w:val="0"/>
          <w:sz w:val="24"/>
          <w:szCs w:val="24"/>
          <w:highlight w:val="none"/>
          <w:lang w:val="en-US" w:eastAsia="zh-CN"/>
        </w:rPr>
        <w:t>2</w:t>
      </w:r>
      <w:r>
        <w:rPr>
          <w:rFonts w:ascii="宋体" w:hAnsi="宋体" w:eastAsia="宋体" w:cs="宋体"/>
          <w:spacing w:val="0"/>
          <w:sz w:val="24"/>
          <w:szCs w:val="24"/>
          <w:highlight w:val="none"/>
        </w:rPr>
        <w:t>年</w:t>
      </w:r>
      <w:r>
        <w:rPr>
          <w:rFonts w:hint="eastAsia" w:ascii="宋体" w:hAnsi="宋体" w:eastAsia="宋体" w:cs="宋体"/>
          <w:spacing w:val="0"/>
          <w:sz w:val="24"/>
          <w:szCs w:val="24"/>
          <w:highlight w:val="none"/>
          <w:lang w:val="en-US" w:eastAsia="zh-CN"/>
        </w:rPr>
        <w:t>1月1日</w:t>
      </w:r>
      <w:r>
        <w:rPr>
          <w:rFonts w:ascii="宋体" w:hAnsi="宋体" w:eastAsia="宋体" w:cs="宋体"/>
          <w:spacing w:val="0"/>
          <w:sz w:val="24"/>
          <w:szCs w:val="24"/>
          <w:highlight w:val="none"/>
        </w:rPr>
        <w:t>以来</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以合同签订日期为准</w:t>
      </w:r>
      <w:r>
        <w:rPr>
          <w:rFonts w:hint="eastAsia" w:ascii="宋体" w:hAnsi="宋体" w:eastAsia="宋体" w:cs="宋体"/>
          <w:spacing w:val="0"/>
          <w:sz w:val="24"/>
          <w:szCs w:val="24"/>
          <w:highlight w:val="none"/>
          <w:lang w:eastAsia="zh-CN"/>
        </w:rPr>
        <w:t>）</w:t>
      </w:r>
      <w:r>
        <w:rPr>
          <w:rFonts w:ascii="宋体" w:hAnsi="宋体" w:eastAsia="宋体" w:cs="宋体"/>
          <w:spacing w:val="0"/>
          <w:sz w:val="24"/>
          <w:szCs w:val="24"/>
          <w:highlight w:val="none"/>
        </w:rPr>
        <w:t>的类似项目业绩，有一份得1分，本项最高得5分。（请在投标文件中提供</w:t>
      </w:r>
      <w:r>
        <w:rPr>
          <w:rFonts w:hint="eastAsia" w:ascii="宋体" w:hAnsi="宋体" w:eastAsia="宋体" w:cs="宋体"/>
          <w:spacing w:val="0"/>
          <w:sz w:val="24"/>
          <w:szCs w:val="24"/>
          <w:highlight w:val="none"/>
          <w:lang w:val="en-US" w:eastAsia="zh-CN"/>
        </w:rPr>
        <w:t>业绩</w:t>
      </w:r>
      <w:r>
        <w:rPr>
          <w:rFonts w:ascii="宋体" w:hAnsi="宋体" w:eastAsia="宋体" w:cs="宋体"/>
          <w:spacing w:val="0"/>
          <w:sz w:val="24"/>
          <w:szCs w:val="24"/>
          <w:highlight w:val="none"/>
        </w:rPr>
        <w:t>合同扫描件，不提供的不得分）</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0</w:t>
      </w:r>
      <w:r>
        <w:rPr>
          <w:rFonts w:hint="eastAsia" w:ascii="宋体" w:hAnsi="宋体" w:cs="宋体"/>
          <w:spacing w:val="0"/>
          <w:sz w:val="24"/>
          <w:szCs w:val="24"/>
          <w:highlight w:val="none"/>
          <w:lang w:val="en-US" w:eastAsia="zh-CN"/>
        </w:rPr>
        <w:t>-5</w:t>
      </w:r>
      <w:r>
        <w:rPr>
          <w:rFonts w:hint="eastAsia" w:ascii="宋体" w:hAnsi="宋体" w:eastAsia="宋体" w:cs="宋体"/>
          <w:spacing w:val="0"/>
          <w:sz w:val="24"/>
          <w:szCs w:val="24"/>
          <w:highlight w:val="none"/>
          <w:lang w:eastAsia="zh-CN"/>
        </w:rPr>
        <w:t>】</w:t>
      </w:r>
    </w:p>
    <w:p w14:paraId="020717C1">
      <w:pPr>
        <w:keepNext w:val="0"/>
        <w:keepLines w:val="0"/>
        <w:pageBreakBefore w:val="0"/>
        <w:widowControl w:val="0"/>
        <w:kinsoku/>
        <w:wordWrap/>
        <w:overflowPunct/>
        <w:topLinePunct w:val="0"/>
        <w:autoSpaceDE/>
        <w:autoSpaceDN/>
        <w:bidi w:val="0"/>
        <w:adjustRightInd/>
        <w:snapToGrid/>
        <w:spacing w:line="360" w:lineRule="auto"/>
        <w:ind w:left="519"/>
        <w:textAlignment w:val="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t>4.</w:t>
      </w:r>
      <w:r>
        <w:rPr>
          <w:rFonts w:hint="eastAsia" w:ascii="宋体" w:hAnsi="宋体" w:cs="宋体"/>
          <w:color w:val="auto"/>
          <w:spacing w:val="0"/>
          <w:sz w:val="24"/>
          <w:szCs w:val="24"/>
          <w:highlight w:val="none"/>
          <w:lang w:val="en-US" w:eastAsia="zh-CN"/>
        </w:rPr>
        <w:t>2</w:t>
      </w:r>
      <w:r>
        <w:rPr>
          <w:rFonts w:ascii="宋体" w:hAnsi="宋体" w:eastAsia="宋体" w:cs="宋体"/>
          <w:color w:val="auto"/>
          <w:spacing w:val="0"/>
          <w:sz w:val="24"/>
          <w:szCs w:val="24"/>
          <w:highlight w:val="none"/>
        </w:rPr>
        <w:t>.道路安全防护设施</w:t>
      </w:r>
    </w:p>
    <w:p w14:paraId="4F47A673">
      <w:pPr>
        <w:keepNext w:val="0"/>
        <w:keepLines w:val="0"/>
        <w:pageBreakBefore w:val="0"/>
        <w:widowControl w:val="0"/>
        <w:kinsoku/>
        <w:wordWrap/>
        <w:overflowPunct/>
        <w:topLinePunct w:val="0"/>
        <w:autoSpaceDE/>
        <w:autoSpaceDN/>
        <w:bidi w:val="0"/>
        <w:adjustRightInd/>
        <w:snapToGrid/>
        <w:spacing w:line="360" w:lineRule="auto"/>
        <w:ind w:left="24" w:right="19" w:firstLine="499"/>
        <w:textAlignment w:val="auto"/>
        <w:rPr>
          <w:rFonts w:ascii="宋体" w:hAnsi="宋体" w:eastAsia="宋体" w:cs="宋体"/>
          <w:color w:val="FF0000"/>
          <w:spacing w:val="0"/>
          <w:sz w:val="24"/>
          <w:szCs w:val="24"/>
          <w:highlight w:val="none"/>
        </w:rPr>
      </w:pPr>
      <w:r>
        <w:rPr>
          <w:rFonts w:ascii="宋体" w:hAnsi="宋体" w:eastAsia="宋体" w:cs="宋体"/>
          <w:color w:val="auto"/>
          <w:spacing w:val="0"/>
          <w:sz w:val="24"/>
          <w:szCs w:val="24"/>
          <w:highlight w:val="none"/>
        </w:rPr>
        <w:t>投标人拥有满足本项目需求规定的</w:t>
      </w:r>
      <w:r>
        <w:rPr>
          <w:rFonts w:hint="eastAsia" w:ascii="宋体" w:hAnsi="宋体" w:eastAsia="宋体" w:cs="宋体"/>
          <w:color w:val="auto"/>
          <w:spacing w:val="0"/>
          <w:sz w:val="24"/>
          <w:szCs w:val="24"/>
          <w:highlight w:val="none"/>
          <w:lang w:val="en-US" w:eastAsia="zh-CN"/>
        </w:rPr>
        <w:t>道路</w:t>
      </w:r>
      <w:r>
        <w:rPr>
          <w:rFonts w:ascii="宋体" w:hAnsi="宋体" w:eastAsia="宋体" w:cs="宋体"/>
          <w:color w:val="auto"/>
          <w:spacing w:val="0"/>
          <w:sz w:val="24"/>
          <w:szCs w:val="24"/>
          <w:highlight w:val="none"/>
        </w:rPr>
        <w:t>安全防护设施的得2分，不满足的不得分。（请在投标文件中</w:t>
      </w:r>
      <w:r>
        <w:rPr>
          <w:rFonts w:hint="eastAsia" w:ascii="宋体" w:hAnsi="宋体" w:cs="宋体"/>
          <w:color w:val="auto"/>
          <w:spacing w:val="0"/>
          <w:sz w:val="24"/>
          <w:szCs w:val="24"/>
          <w:highlight w:val="none"/>
          <w:lang w:val="en-US" w:eastAsia="zh-CN"/>
        </w:rPr>
        <w:t>提供相关证明材料：</w:t>
      </w:r>
      <w:r>
        <w:rPr>
          <w:rFonts w:ascii="宋体" w:hAnsi="宋体" w:eastAsia="宋体" w:cs="宋体"/>
          <w:i w:val="0"/>
          <w:iCs w:val="0"/>
          <w:color w:val="auto"/>
          <w:spacing w:val="0"/>
          <w:sz w:val="24"/>
          <w:szCs w:val="24"/>
          <w:highlight w:val="none"/>
          <w:u w:val="none"/>
        </w:rPr>
        <w:t>自有的提供相关购置发票原件扫描件；租赁的提供租赁合同原件扫描件或购置发票原件扫描件</w:t>
      </w:r>
      <w:r>
        <w:rPr>
          <w:rFonts w:ascii="宋体" w:hAnsi="宋体" w:eastAsia="宋体" w:cs="宋体"/>
          <w:color w:val="auto"/>
          <w:spacing w:val="0"/>
          <w:sz w:val="24"/>
          <w:szCs w:val="24"/>
          <w:highlight w:val="none"/>
        </w:rPr>
        <w:t>，不提供的不得分）</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0</w:t>
      </w:r>
      <w:r>
        <w:rPr>
          <w:rFonts w:hint="eastAsia" w:ascii="宋体" w:hAnsi="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w:t>
      </w:r>
    </w:p>
    <w:p w14:paraId="65B681FB">
      <w:pPr>
        <w:pStyle w:val="14"/>
        <w:keepNext w:val="0"/>
        <w:keepLines w:val="0"/>
        <w:pageBreakBefore w:val="0"/>
        <w:widowControl w:val="0"/>
        <w:kinsoku/>
        <w:wordWrap/>
        <w:overflowPunct/>
        <w:topLinePunct w:val="0"/>
        <w:autoSpaceDE/>
        <w:autoSpaceDN/>
        <w:bidi w:val="0"/>
        <w:adjustRightInd/>
        <w:snapToGrid/>
        <w:spacing w:after="0" w:line="360" w:lineRule="auto"/>
        <w:textAlignment w:val="auto"/>
        <w:rPr>
          <w:spacing w:val="0"/>
        </w:rPr>
      </w:pPr>
    </w:p>
    <w:p w14:paraId="011937C4">
      <w:pPr>
        <w:pStyle w:val="14"/>
        <w:keepNext w:val="0"/>
        <w:keepLines w:val="0"/>
        <w:pageBreakBefore w:val="0"/>
        <w:widowControl w:val="0"/>
        <w:kinsoku/>
        <w:wordWrap/>
        <w:overflowPunct/>
        <w:topLinePunct w:val="0"/>
        <w:autoSpaceDE/>
        <w:autoSpaceDN/>
        <w:bidi w:val="0"/>
        <w:adjustRightInd/>
        <w:snapToGrid/>
        <w:spacing w:after="0" w:line="360" w:lineRule="auto"/>
        <w:textAlignment w:val="auto"/>
        <w:rPr>
          <w:spacing w:val="0"/>
        </w:rPr>
      </w:pPr>
    </w:p>
    <w:p w14:paraId="37A88153">
      <w:pPr>
        <w:keepNext w:val="0"/>
        <w:keepLines w:val="0"/>
        <w:pageBreakBefore w:val="0"/>
        <w:widowControl w:val="0"/>
        <w:kinsoku/>
        <w:wordWrap/>
        <w:overflowPunct/>
        <w:topLinePunct w:val="0"/>
        <w:autoSpaceDE/>
        <w:autoSpaceDN/>
        <w:bidi w:val="0"/>
        <w:adjustRightInd/>
        <w:snapToGrid/>
        <w:spacing w:line="360" w:lineRule="auto"/>
        <w:ind w:left="501"/>
        <w:textAlignment w:val="auto"/>
        <w:rPr>
          <w:rFonts w:ascii="宋体" w:hAnsi="宋体" w:eastAsia="宋体" w:cs="宋体"/>
          <w:spacing w:val="0"/>
          <w:sz w:val="24"/>
          <w:szCs w:val="24"/>
        </w:rPr>
      </w:pPr>
      <w:r>
        <w:rPr>
          <w:rFonts w:ascii="宋体" w:hAnsi="宋体" w:eastAsia="宋体" w:cs="宋体"/>
          <w:spacing w:val="0"/>
          <w:sz w:val="24"/>
          <w:szCs w:val="24"/>
        </w:rPr>
        <w:t>注:</w:t>
      </w:r>
    </w:p>
    <w:p w14:paraId="63300293">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val="0"/>
        <w:autoSpaceDE/>
        <w:autoSpaceDN/>
        <w:bidi w:val="0"/>
        <w:adjustRightInd/>
        <w:snapToGrid/>
        <w:spacing w:line="360" w:lineRule="auto"/>
        <w:ind w:firstLine="480" w:firstLineChars="200"/>
        <w:contextualSpacing/>
        <w:jc w:val="left"/>
        <w:textAlignment w:val="auto"/>
        <w:rPr>
          <w:b/>
          <w:bCs/>
          <w:color w:val="000000" w:themeColor="text1"/>
          <w:spacing w:val="0"/>
          <w:highlight w:val="none"/>
          <w14:textFill>
            <w14:solidFill>
              <w14:schemeClr w14:val="tx1"/>
            </w14:solidFill>
          </w14:textFill>
        </w:rPr>
      </w:pPr>
      <w:r>
        <w:rPr>
          <w:rFonts w:ascii="宋体" w:hAnsi="宋体" w:eastAsia="宋体" w:cs="宋体"/>
          <w:spacing w:val="0"/>
          <w:sz w:val="24"/>
          <w:szCs w:val="24"/>
        </w:rPr>
        <w:t>以上证明材料，不提供不得分。</w:t>
      </w:r>
    </w:p>
    <w:p w14:paraId="0654A98D">
      <w:pPr>
        <w:pStyle w:val="2"/>
        <w:shd w:val="clear"/>
        <w:jc w:val="center"/>
        <w:rPr>
          <w:rFonts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br w:type="page" w:clear="all"/>
      </w:r>
      <w:bookmarkStart w:id="173" w:name="_Toc12933"/>
      <w:r>
        <w:rPr>
          <w:rFonts w:hint="eastAsia" w:ascii="黑体" w:eastAsia="黑体"/>
          <w:bCs/>
          <w:color w:val="000000" w:themeColor="text1"/>
          <w:sz w:val="44"/>
          <w:highlight w:val="none"/>
          <w14:textFill>
            <w14:solidFill>
              <w14:schemeClr w14:val="tx1"/>
            </w14:solidFill>
          </w14:textFill>
        </w:rPr>
        <w:t>第六章  投标</w:t>
      </w:r>
      <w:bookmarkEnd w:id="170"/>
      <w:bookmarkEnd w:id="171"/>
      <w:r>
        <w:rPr>
          <w:rFonts w:hint="eastAsia" w:ascii="黑体" w:eastAsia="黑体"/>
          <w:bCs/>
          <w:color w:val="000000" w:themeColor="text1"/>
          <w:sz w:val="44"/>
          <w:highlight w:val="none"/>
          <w14:textFill>
            <w14:solidFill>
              <w14:schemeClr w14:val="tx1"/>
            </w14:solidFill>
          </w14:textFill>
        </w:rPr>
        <w:t>文件格式</w:t>
      </w:r>
      <w:bookmarkEnd w:id="173"/>
    </w:p>
    <w:p w14:paraId="49B33B31">
      <w:pPr>
        <w:shd w:val="clear"/>
        <w:jc w:val="center"/>
        <w:rPr>
          <w:rFonts w:ascii="宋体" w:hAnsi="宋体"/>
          <w:b/>
          <w:color w:val="000000" w:themeColor="text1"/>
          <w:sz w:val="72"/>
          <w:highlight w:val="none"/>
          <w14:textFill>
            <w14:solidFill>
              <w14:schemeClr w14:val="tx1"/>
            </w14:solidFill>
          </w14:textFill>
        </w:rPr>
      </w:pPr>
    </w:p>
    <w:p w14:paraId="75CADCD5">
      <w:pPr>
        <w:shd w:val="clea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投  标  文  件</w:t>
      </w:r>
    </w:p>
    <w:p w14:paraId="66632928">
      <w:pPr>
        <w:shd w:val="clear"/>
        <w:jc w:val="center"/>
        <w:rPr>
          <w:rFonts w:ascii="宋体" w:hAnsi="宋体"/>
          <w:b/>
          <w:color w:val="000000" w:themeColor="text1"/>
          <w:sz w:val="72"/>
          <w:highlight w:val="none"/>
          <w14:textFill>
            <w14:solidFill>
              <w14:schemeClr w14:val="tx1"/>
            </w14:solidFill>
          </w14:textFill>
        </w:rPr>
      </w:pPr>
    </w:p>
    <w:p w14:paraId="59532E24">
      <w:pPr>
        <w:shd w:val="clear"/>
        <w:jc w:val="center"/>
        <w:rPr>
          <w:rFonts w:ascii="宋体" w:hAnsi="宋体"/>
          <w:b/>
          <w:color w:val="000000" w:themeColor="text1"/>
          <w:sz w:val="72"/>
          <w:highlight w:val="none"/>
          <w14:textFill>
            <w14:solidFill>
              <w14:schemeClr w14:val="tx1"/>
            </w14:solidFill>
          </w14:textFill>
        </w:rPr>
      </w:pPr>
    </w:p>
    <w:p w14:paraId="16B8BE4D">
      <w:pPr>
        <w:shd w:val="clear"/>
        <w:jc w:val="center"/>
        <w:rPr>
          <w:rFonts w:ascii="宋体" w:hAnsi="宋体"/>
          <w:b/>
          <w:color w:val="000000" w:themeColor="text1"/>
          <w:sz w:val="36"/>
          <w:highlight w:val="none"/>
          <w14:textFill>
            <w14:solidFill>
              <w14:schemeClr w14:val="tx1"/>
            </w14:solidFill>
          </w14:textFill>
        </w:rPr>
      </w:pPr>
    </w:p>
    <w:p w14:paraId="401AB1E8">
      <w:pPr>
        <w:shd w:val="clear"/>
        <w:jc w:val="center"/>
        <w:rPr>
          <w:rFonts w:ascii="宋体" w:hAnsi="宋体"/>
          <w:b/>
          <w:color w:val="000000" w:themeColor="text1"/>
          <w:sz w:val="36"/>
          <w:highlight w:val="none"/>
          <w14:textFill>
            <w14:solidFill>
              <w14:schemeClr w14:val="tx1"/>
            </w14:solidFill>
          </w14:textFill>
        </w:rPr>
      </w:pPr>
    </w:p>
    <w:p w14:paraId="521C1254">
      <w:pPr>
        <w:shd w:val="clear"/>
        <w:jc w:val="center"/>
        <w:rPr>
          <w:rFonts w:ascii="宋体" w:hAnsi="宋体"/>
          <w:b/>
          <w:color w:val="000000" w:themeColor="text1"/>
          <w:sz w:val="36"/>
          <w:highlight w:val="none"/>
          <w14:textFill>
            <w14:solidFill>
              <w14:schemeClr w14:val="tx1"/>
            </w14:solidFill>
          </w14:textFill>
        </w:rPr>
      </w:pPr>
    </w:p>
    <w:p w14:paraId="441B7EAF">
      <w:pPr>
        <w:shd w:val="clea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名 称：</w:t>
      </w:r>
      <w:r>
        <w:rPr>
          <w:rFonts w:hint="eastAsia" w:ascii="宋体" w:hAnsi="宋体"/>
          <w:b/>
          <w:color w:val="000000" w:themeColor="text1"/>
          <w:sz w:val="36"/>
          <w:highlight w:val="none"/>
          <w:u w:val="single"/>
          <w14:textFill>
            <w14:solidFill>
              <w14:schemeClr w14:val="tx1"/>
            </w14:solidFill>
          </w14:textFill>
        </w:rPr>
        <w:t xml:space="preserve">               </w:t>
      </w:r>
    </w:p>
    <w:p w14:paraId="1FA7A053">
      <w:pPr>
        <w:shd w:val="clea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编 号：</w:t>
      </w:r>
      <w:r>
        <w:rPr>
          <w:rFonts w:hint="eastAsia" w:ascii="宋体" w:hAnsi="宋体"/>
          <w:b/>
          <w:color w:val="000000" w:themeColor="text1"/>
          <w:sz w:val="36"/>
          <w:highlight w:val="none"/>
          <w:u w:val="single"/>
          <w14:textFill>
            <w14:solidFill>
              <w14:schemeClr w14:val="tx1"/>
            </w14:solidFill>
          </w14:textFill>
        </w:rPr>
        <w:t xml:space="preserve">               </w:t>
      </w:r>
    </w:p>
    <w:p w14:paraId="5A0149A9">
      <w:pPr>
        <w:shd w:val="clea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（加盖CA电子公章）</w:t>
      </w:r>
    </w:p>
    <w:p w14:paraId="79B0E115">
      <w:pPr>
        <w:shd w:val="clea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p>
    <w:p w14:paraId="545C5B19">
      <w:pPr>
        <w:shd w:val="clear"/>
        <w:spacing w:line="440" w:lineRule="exact"/>
        <w:jc w:val="center"/>
        <w:rPr>
          <w:rFonts w:ascii="宋体" w:hAnsi="宋体"/>
          <w:b/>
          <w:bCs/>
          <w:color w:val="000000" w:themeColor="text1"/>
          <w:sz w:val="32"/>
          <w:szCs w:val="32"/>
          <w:highlight w:val="none"/>
          <w14:textFill>
            <w14:solidFill>
              <w14:schemeClr w14:val="tx1"/>
            </w14:solidFill>
          </w14:textFill>
        </w:rPr>
      </w:pPr>
    </w:p>
    <w:p w14:paraId="33BF39A6">
      <w:pPr>
        <w:shd w:val="clear"/>
        <w:spacing w:line="440" w:lineRule="exact"/>
        <w:rPr>
          <w:rFonts w:ascii="宋体" w:hAnsi="宋体"/>
          <w:color w:val="000000" w:themeColor="text1"/>
          <w:highlight w:val="none"/>
          <w14:textFill>
            <w14:solidFill>
              <w14:schemeClr w14:val="tx1"/>
            </w14:solidFill>
          </w14:textFill>
        </w:rPr>
      </w:pPr>
    </w:p>
    <w:p w14:paraId="3C2E2385">
      <w:pPr>
        <w:shd w:val="clear"/>
        <w:ind w:firstLine="1084"/>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p>
    <w:p w14:paraId="5C04C426">
      <w:pPr>
        <w:pBdr>
          <w:top w:val="none" w:color="000000" w:sz="0" w:space="0"/>
          <w:left w:val="none" w:color="000000" w:sz="0" w:space="0"/>
          <w:bottom w:val="none" w:color="000000" w:sz="0" w:space="0"/>
          <w:right w:val="none" w:color="000000" w:sz="0" w:space="0"/>
        </w:pBdr>
        <w:shd w:val="clear"/>
        <w:spacing w:line="439" w:lineRule="atLeast"/>
        <w:jc w:val="center"/>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投标文件目录</w:t>
      </w:r>
    </w:p>
    <w:p w14:paraId="00CC1559">
      <w:pPr>
        <w:pBdr>
          <w:top w:val="none" w:color="000000" w:sz="0" w:space="0"/>
          <w:left w:val="none" w:color="000000" w:sz="0" w:space="0"/>
          <w:bottom w:val="none" w:color="000000" w:sz="0" w:space="0"/>
          <w:right w:val="none" w:color="000000" w:sz="0" w:space="0"/>
        </w:pBdr>
        <w:shd w:val="clear"/>
        <w:spacing w:line="439" w:lineRule="atLeast"/>
        <w:jc w:val="center"/>
        <w:rPr>
          <w:color w:val="000000" w:themeColor="text1"/>
          <w:highlight w:val="none"/>
          <w14:textFill>
            <w14:solidFill>
              <w14:schemeClr w14:val="tx1"/>
            </w14:solidFill>
          </w14:textFill>
        </w:rPr>
      </w:pPr>
      <w:r>
        <w:rPr>
          <w:rFonts w:ascii="宋体" w:hAnsi="宋体" w:cs="宋体"/>
          <w:b/>
          <w:color w:val="000000" w:themeColor="text1"/>
          <w:sz w:val="32"/>
          <w:highlight w:val="none"/>
          <w14:textFill>
            <w14:solidFill>
              <w14:schemeClr w14:val="tx1"/>
            </w14:solidFill>
          </w14:textFill>
        </w:rPr>
        <w:t> </w:t>
      </w:r>
    </w:p>
    <w:p w14:paraId="5CF4A97D">
      <w:pPr>
        <w:pBdr>
          <w:top w:val="none" w:color="000000" w:sz="0" w:space="0"/>
          <w:left w:val="none" w:color="000000" w:sz="0" w:space="0"/>
          <w:bottom w:val="none" w:color="000000" w:sz="0" w:space="0"/>
          <w:right w:val="none" w:color="000000" w:sz="0" w:space="0"/>
        </w:pBdr>
        <w:shd w:val="clear"/>
        <w:spacing w:line="360" w:lineRule="auto"/>
        <w:ind w:left="480"/>
        <w:rPr>
          <w:color w:val="000000" w:themeColor="text1"/>
          <w:highlight w:val="none"/>
          <w14:textFill>
            <w14:solidFill>
              <w14:schemeClr w14:val="tx1"/>
            </w14:solidFill>
          </w14:textFill>
        </w:rPr>
      </w:pPr>
      <w:r>
        <w:rPr>
          <w:rFonts w:ascii="宋体" w:hAnsi="宋体" w:cs="宋体"/>
          <w:i/>
          <w:color w:val="000000" w:themeColor="text1"/>
          <w:sz w:val="24"/>
          <w:highlight w:val="none"/>
          <w:u w:val="single"/>
          <w14:textFill>
            <w14:solidFill>
              <w14:schemeClr w14:val="tx1"/>
            </w14:solidFill>
          </w14:textFill>
        </w:rPr>
        <w:t>一、法人或者其他组织的营业执照等证明文件，自然人的身份证明</w:t>
      </w:r>
    </w:p>
    <w:p w14:paraId="101BC322">
      <w:pPr>
        <w:pBdr>
          <w:top w:val="none" w:color="000000" w:sz="0" w:space="0"/>
          <w:left w:val="none" w:color="000000" w:sz="0" w:space="0"/>
          <w:bottom w:val="none" w:color="000000" w:sz="0" w:space="0"/>
          <w:right w:val="none" w:color="000000" w:sz="0" w:space="0"/>
        </w:pBdr>
        <w:shd w:val="clear"/>
        <w:spacing w:line="360" w:lineRule="auto"/>
        <w:ind w:left="480"/>
        <w:rPr>
          <w:color w:val="000000" w:themeColor="text1"/>
          <w:highlight w:val="none"/>
          <w14:textFill>
            <w14:solidFill>
              <w14:schemeClr w14:val="tx1"/>
            </w14:solidFill>
          </w14:textFill>
        </w:rPr>
      </w:pPr>
      <w:r>
        <w:rPr>
          <w:rFonts w:ascii="宋体" w:hAnsi="宋体" w:cs="宋体"/>
          <w:i/>
          <w:color w:val="000000" w:themeColor="text1"/>
          <w:sz w:val="24"/>
          <w:highlight w:val="none"/>
          <w:u w:val="single"/>
          <w14:textFill>
            <w14:solidFill>
              <w14:schemeClr w14:val="tx1"/>
            </w14:solidFill>
          </w14:textFill>
        </w:rPr>
        <w:t>二、上一年度的财务状况报告（投标人成立不满一年无需提供）</w:t>
      </w:r>
    </w:p>
    <w:p w14:paraId="654951C8">
      <w:pPr>
        <w:pBdr>
          <w:top w:val="none" w:color="000000" w:sz="0" w:space="0"/>
          <w:left w:val="none" w:color="000000" w:sz="0" w:space="0"/>
          <w:bottom w:val="none" w:color="000000" w:sz="0" w:space="0"/>
          <w:right w:val="none" w:color="000000" w:sz="0" w:space="0"/>
        </w:pBdr>
        <w:shd w:val="clear"/>
        <w:spacing w:line="360" w:lineRule="auto"/>
        <w:ind w:left="480"/>
        <w:rPr>
          <w:color w:val="000000" w:themeColor="text1"/>
          <w:highlight w:val="none"/>
          <w14:textFill>
            <w14:solidFill>
              <w14:schemeClr w14:val="tx1"/>
            </w14:solidFill>
          </w14:textFill>
        </w:rPr>
      </w:pPr>
      <w:r>
        <w:rPr>
          <w:rFonts w:ascii="宋体" w:hAnsi="宋体" w:cs="宋体"/>
          <w:i/>
          <w:color w:val="000000" w:themeColor="text1"/>
          <w:sz w:val="24"/>
          <w:highlight w:val="none"/>
          <w:u w:val="single"/>
          <w14:textFill>
            <w14:solidFill>
              <w14:schemeClr w14:val="tx1"/>
            </w14:solidFill>
          </w14:textFill>
        </w:rPr>
        <w:t>三、依法缴纳税收和社会保障资金的相关材料（提供投标文件截止时间前一年内至少一个月依法缴纳税收及缴纳社会保障资金的证明材料。投标人依法享受缓缴、免缴税收、社会保障资金的提供证明材料）</w:t>
      </w:r>
    </w:p>
    <w:p w14:paraId="5C561C31">
      <w:pPr>
        <w:pBdr>
          <w:top w:val="none" w:color="000000" w:sz="0" w:space="0"/>
          <w:left w:val="none" w:color="000000" w:sz="0" w:space="0"/>
          <w:bottom w:val="none" w:color="000000" w:sz="0" w:space="0"/>
          <w:right w:val="none" w:color="000000" w:sz="0" w:space="0"/>
        </w:pBdr>
        <w:shd w:val="clear"/>
        <w:spacing w:line="360" w:lineRule="auto"/>
        <w:ind w:left="480"/>
        <w:rPr>
          <w:color w:val="000000" w:themeColor="text1"/>
          <w:highlight w:val="none"/>
          <w14:textFill>
            <w14:solidFill>
              <w14:schemeClr w14:val="tx1"/>
            </w14:solidFill>
          </w14:textFill>
        </w:rPr>
      </w:pPr>
      <w:r>
        <w:rPr>
          <w:rFonts w:ascii="宋体" w:hAnsi="宋体" w:cs="宋体"/>
          <w:i/>
          <w:color w:val="000000" w:themeColor="text1"/>
          <w:sz w:val="24"/>
          <w:highlight w:val="none"/>
          <w:u w:val="single"/>
          <w14:textFill>
            <w14:solidFill>
              <w14:schemeClr w14:val="tx1"/>
            </w14:solidFill>
          </w14:textFill>
        </w:rPr>
        <w:t>四、具备履行合同所必需的设备和专业技术能力的书面声明</w:t>
      </w:r>
    </w:p>
    <w:p w14:paraId="61B6125F">
      <w:pPr>
        <w:pBdr>
          <w:top w:val="none" w:color="000000" w:sz="0" w:space="0"/>
          <w:left w:val="none" w:color="000000" w:sz="0" w:space="0"/>
          <w:bottom w:val="none" w:color="000000" w:sz="0" w:space="0"/>
          <w:right w:val="none" w:color="000000" w:sz="0" w:space="0"/>
        </w:pBdr>
        <w:shd w:val="clear"/>
        <w:spacing w:line="360" w:lineRule="auto"/>
        <w:ind w:left="480"/>
        <w:rPr>
          <w:rFonts w:ascii="宋体" w:hAnsi="宋体" w:eastAsia="宋体" w:cs="宋体"/>
          <w:i/>
          <w:color w:val="000000" w:themeColor="text1"/>
          <w:sz w:val="24"/>
          <w:highlight w:val="none"/>
          <w:u w:val="single"/>
          <w14:textFill>
            <w14:solidFill>
              <w14:schemeClr w14:val="tx1"/>
            </w14:solidFill>
          </w14:textFill>
        </w:rPr>
      </w:pPr>
      <w:r>
        <w:rPr>
          <w:rFonts w:ascii="宋体" w:hAnsi="宋体" w:eastAsia="宋体" w:cs="宋体"/>
          <w:i/>
          <w:color w:val="000000" w:themeColor="text1"/>
          <w:sz w:val="24"/>
          <w:highlight w:val="none"/>
          <w:u w:val="single"/>
          <w14:textFill>
            <w14:solidFill>
              <w14:schemeClr w14:val="tx1"/>
            </w14:solidFill>
          </w14:textFill>
        </w:rPr>
        <w:t>五、参加政府采购活动前 3 年内在经营活动中没有重大违法记录的书面声明</w:t>
      </w:r>
    </w:p>
    <w:p w14:paraId="5F8B83C3">
      <w:pPr>
        <w:pBdr>
          <w:top w:val="none" w:color="000000" w:sz="0" w:space="0"/>
          <w:left w:val="none" w:color="000000" w:sz="0" w:space="0"/>
          <w:bottom w:val="none" w:color="000000" w:sz="0" w:space="0"/>
          <w:right w:val="none" w:color="000000" w:sz="0" w:space="0"/>
        </w:pBdr>
        <w:shd w:val="clear"/>
        <w:spacing w:line="360" w:lineRule="auto"/>
        <w:ind w:left="480"/>
        <w:rPr>
          <w:rFonts w:hint="default" w:ascii="宋体" w:hAnsi="宋体" w:eastAsia="宋体" w:cs="宋体"/>
          <w:i/>
          <w:color w:val="000000" w:themeColor="text1"/>
          <w:sz w:val="24"/>
          <w:highlight w:val="none"/>
          <w:u w:val="single"/>
          <w:lang w:val="en-US" w:eastAsia="zh-CN"/>
          <w14:textFill>
            <w14:solidFill>
              <w14:schemeClr w14:val="tx1"/>
            </w14:solidFill>
          </w14:textFill>
        </w:rPr>
      </w:pPr>
      <w:r>
        <w:rPr>
          <w:rFonts w:hint="eastAsia" w:ascii="宋体" w:hAnsi="宋体" w:eastAsia="宋体" w:cs="宋体"/>
          <w:i/>
          <w:color w:val="000000" w:themeColor="text1"/>
          <w:sz w:val="24"/>
          <w:highlight w:val="none"/>
          <w:u w:val="single"/>
          <w:lang w:val="en-US" w:eastAsia="zh-CN"/>
          <w14:textFill>
            <w14:solidFill>
              <w14:schemeClr w14:val="tx1"/>
            </w14:solidFill>
          </w14:textFill>
        </w:rPr>
        <w:t>六</w:t>
      </w:r>
      <w:r>
        <w:rPr>
          <w:rFonts w:ascii="宋体" w:hAnsi="宋体" w:eastAsia="宋体" w:cs="宋体"/>
          <w:i/>
          <w:color w:val="000000" w:themeColor="text1"/>
          <w:sz w:val="24"/>
          <w:highlight w:val="none"/>
          <w:u w:val="single"/>
          <w14:textFill>
            <w14:solidFill>
              <w14:schemeClr w14:val="tx1"/>
            </w14:solidFill>
          </w14:textFill>
        </w:rPr>
        <w:t>、</w:t>
      </w:r>
      <w:r>
        <w:rPr>
          <w:rFonts w:hint="eastAsia" w:ascii="宋体" w:hAnsi="宋体" w:eastAsia="宋体" w:cs="宋体"/>
          <w:i/>
          <w:color w:val="000000" w:themeColor="text1"/>
          <w:sz w:val="24"/>
          <w:highlight w:val="none"/>
          <w:u w:val="single"/>
          <w:lang w:val="en-US" w:eastAsia="zh-CN"/>
          <w14:textFill>
            <w14:solidFill>
              <w14:schemeClr w14:val="tx1"/>
            </w14:solidFill>
          </w14:textFill>
        </w:rPr>
        <w:t>关于资格证明文件的书面承诺</w:t>
      </w:r>
    </w:p>
    <w:p w14:paraId="19063B70">
      <w:pPr>
        <w:pBdr>
          <w:top w:val="none" w:color="000000" w:sz="0" w:space="0"/>
          <w:left w:val="none" w:color="000000" w:sz="0" w:space="0"/>
          <w:bottom w:val="none" w:color="000000" w:sz="0" w:space="0"/>
          <w:right w:val="none" w:color="000000" w:sz="0" w:space="0"/>
        </w:pBdr>
        <w:shd w:val="clear"/>
        <w:spacing w:line="360" w:lineRule="auto"/>
        <w:ind w:firstLine="480"/>
        <w:rPr>
          <w:i w:val="0"/>
          <w:iCs/>
          <w:color w:val="000000" w:themeColor="text1"/>
          <w:highlight w:val="none"/>
          <w:u w:val="none"/>
          <w14:textFill>
            <w14:solidFill>
              <w14:schemeClr w14:val="tx1"/>
            </w14:solidFill>
          </w14:textFill>
        </w:rPr>
      </w:pPr>
      <w:r>
        <w:rPr>
          <w:rFonts w:hint="eastAsia" w:ascii="宋体" w:hAnsi="宋体" w:cs="宋体"/>
          <w:i w:val="0"/>
          <w:iCs/>
          <w:color w:val="000000" w:themeColor="text1"/>
          <w:sz w:val="24"/>
          <w:highlight w:val="none"/>
          <w:u w:val="none"/>
          <w:lang w:val="en-US" w:eastAsia="zh-CN"/>
          <w14:textFill>
            <w14:solidFill>
              <w14:schemeClr w14:val="tx1"/>
            </w14:solidFill>
          </w14:textFill>
        </w:rPr>
        <w:t>七、</w:t>
      </w:r>
      <w:r>
        <w:rPr>
          <w:rFonts w:ascii="宋体" w:hAnsi="宋体" w:cs="宋体"/>
          <w:i w:val="0"/>
          <w:iCs/>
          <w:color w:val="000000" w:themeColor="text1"/>
          <w:sz w:val="24"/>
          <w:highlight w:val="none"/>
          <w:u w:val="none"/>
          <w14:textFill>
            <w14:solidFill>
              <w14:schemeClr w14:val="tx1"/>
            </w14:solidFill>
          </w14:textFill>
        </w:rPr>
        <w:t>法人授权书</w:t>
      </w:r>
    </w:p>
    <w:p w14:paraId="2FF56E6E">
      <w:pPr>
        <w:pBdr>
          <w:top w:val="none" w:color="000000" w:sz="0" w:space="0"/>
          <w:left w:val="none" w:color="000000" w:sz="0" w:space="0"/>
          <w:bottom w:val="none" w:color="000000" w:sz="0" w:space="0"/>
          <w:right w:val="none" w:color="000000" w:sz="0" w:space="0"/>
        </w:pBdr>
        <w:shd w:val="clear"/>
        <w:spacing w:line="360" w:lineRule="auto"/>
        <w:ind w:firstLine="480"/>
        <w:rPr>
          <w:rFonts w:ascii="宋体" w:hAnsi="宋体" w:cs="宋体"/>
          <w:i w:val="0"/>
          <w:iCs/>
          <w:color w:val="000000" w:themeColor="text1"/>
          <w:sz w:val="24"/>
          <w:highlight w:val="none"/>
          <w:u w:val="none"/>
          <w14:textFill>
            <w14:solidFill>
              <w14:schemeClr w14:val="tx1"/>
            </w14:solidFill>
          </w14:textFill>
        </w:rPr>
      </w:pPr>
      <w:r>
        <w:rPr>
          <w:rFonts w:hint="eastAsia" w:ascii="宋体" w:hAnsi="宋体" w:cs="宋体"/>
          <w:i w:val="0"/>
          <w:iCs/>
          <w:color w:val="000000" w:themeColor="text1"/>
          <w:sz w:val="24"/>
          <w:highlight w:val="none"/>
          <w:u w:val="none"/>
          <w:lang w:val="en-US" w:eastAsia="zh-CN"/>
          <w14:textFill>
            <w14:solidFill>
              <w14:schemeClr w14:val="tx1"/>
            </w14:solidFill>
          </w14:textFill>
        </w:rPr>
        <w:t>八</w:t>
      </w:r>
      <w:r>
        <w:rPr>
          <w:rFonts w:ascii="宋体" w:hAnsi="宋体" w:cs="宋体"/>
          <w:i w:val="0"/>
          <w:iCs/>
          <w:color w:val="000000" w:themeColor="text1"/>
          <w:sz w:val="24"/>
          <w:highlight w:val="none"/>
          <w:u w:val="none"/>
          <w14:textFill>
            <w14:solidFill>
              <w14:schemeClr w14:val="tx1"/>
            </w14:solidFill>
          </w14:textFill>
        </w:rPr>
        <w:t>、投标函</w:t>
      </w:r>
    </w:p>
    <w:p w14:paraId="152A1A77">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480"/>
        <w:contextualSpacing w:val="0"/>
        <w:jc w:val="both"/>
        <w:rPr>
          <w:rFonts w:ascii="宋体" w:hAnsi="宋体" w:eastAsia="宋体" w:cs="宋体"/>
          <w:i w:val="0"/>
          <w:iCs/>
          <w:color w:val="000000" w:themeColor="text1"/>
          <w:sz w:val="24"/>
          <w:highlight w:val="none"/>
          <w:u w:val="none"/>
          <w14:textFill>
            <w14:solidFill>
              <w14:schemeClr w14:val="tx1"/>
            </w14:solidFill>
          </w14:textFill>
        </w:rPr>
      </w:pPr>
      <w:r>
        <w:rPr>
          <w:rFonts w:hint="eastAsia" w:ascii="宋体" w:hAnsi="宋体" w:cs="宋体"/>
          <w:i w:val="0"/>
          <w:iCs/>
          <w:color w:val="000000" w:themeColor="text1"/>
          <w:sz w:val="24"/>
          <w:highlight w:val="none"/>
          <w:u w:val="none"/>
          <w:lang w:val="en-US" w:eastAsia="zh-CN"/>
          <w14:textFill>
            <w14:solidFill>
              <w14:schemeClr w14:val="tx1"/>
            </w14:solidFill>
          </w14:textFill>
        </w:rPr>
        <w:t>九</w:t>
      </w:r>
      <w:r>
        <w:rPr>
          <w:rFonts w:ascii="宋体" w:hAnsi="宋体" w:eastAsia="宋体" w:cs="宋体"/>
          <w:i w:val="0"/>
          <w:iCs/>
          <w:color w:val="000000" w:themeColor="text1"/>
          <w:sz w:val="24"/>
          <w:highlight w:val="none"/>
          <w:u w:val="none"/>
          <w14:textFill>
            <w14:solidFill>
              <w14:schemeClr w14:val="tx1"/>
            </w14:solidFill>
          </w14:textFill>
        </w:rPr>
        <w:t>、开标一览表</w:t>
      </w:r>
    </w:p>
    <w:p w14:paraId="284FB501">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right="0" w:firstLine="480"/>
        <w:contextualSpacing w:val="0"/>
        <w:jc w:val="both"/>
        <w:rPr>
          <w:rFonts w:hint="default" w:ascii="宋体" w:hAnsi="宋体" w:eastAsia="宋体" w:cs="宋体"/>
          <w:i w:val="0"/>
          <w:iCs/>
          <w:color w:val="000000" w:themeColor="text1"/>
          <w:sz w:val="24"/>
          <w:highlight w:val="none"/>
          <w:u w:val="none"/>
          <w14:textFill>
            <w14:solidFill>
              <w14:schemeClr w14:val="tx1"/>
            </w14:solidFill>
          </w14:textFill>
        </w:rPr>
      </w:pPr>
      <w:r>
        <w:rPr>
          <w:rFonts w:hint="eastAsia" w:ascii="宋体" w:hAnsi="宋体" w:cs="宋体"/>
          <w:i w:val="0"/>
          <w:iCs/>
          <w:color w:val="000000" w:themeColor="text1"/>
          <w:sz w:val="24"/>
          <w:highlight w:val="none"/>
          <w:u w:val="none"/>
          <w:lang w:val="en-US" w:eastAsia="zh-CN"/>
          <w14:textFill>
            <w14:solidFill>
              <w14:schemeClr w14:val="tx1"/>
            </w14:solidFill>
          </w14:textFill>
        </w:rPr>
        <w:t>十、分项报价表</w:t>
      </w:r>
    </w:p>
    <w:p w14:paraId="717CAB4E">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480"/>
        <w:contextualSpacing w:val="0"/>
        <w:jc w:val="both"/>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十一</w:t>
      </w:r>
      <w:r>
        <w:rPr>
          <w:rFonts w:ascii="宋体" w:hAnsi="宋体" w:eastAsia="宋体" w:cs="宋体"/>
          <w:color w:val="000000" w:themeColor="text1"/>
          <w:sz w:val="24"/>
          <w:highlight w:val="none"/>
          <w14:textFill>
            <w14:solidFill>
              <w14:schemeClr w14:val="tx1"/>
            </w14:solidFill>
          </w14:textFill>
        </w:rPr>
        <w:t>、第四章项目需求中实质性要求响应对照表</w:t>
      </w:r>
    </w:p>
    <w:p w14:paraId="39B0EE9E">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480"/>
        <w:contextualSpacing w:val="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十</w:t>
      </w:r>
      <w:r>
        <w:rPr>
          <w:rFonts w:hint="eastAsia" w:ascii="宋体" w:hAnsi="宋体" w:cs="宋体"/>
          <w:color w:val="000000" w:themeColor="text1"/>
          <w:sz w:val="24"/>
          <w:highlight w:val="none"/>
          <w:lang w:val="en-US" w:eastAsia="zh-CN"/>
          <w14:textFill>
            <w14:solidFill>
              <w14:schemeClr w14:val="tx1"/>
            </w14:solidFill>
          </w14:textFill>
        </w:rPr>
        <w:t>二</w:t>
      </w:r>
      <w:r>
        <w:rPr>
          <w:rFonts w:ascii="宋体" w:hAnsi="宋体" w:eastAsia="宋体" w:cs="宋体"/>
          <w:color w:val="000000" w:themeColor="text1"/>
          <w:sz w:val="24"/>
          <w:highlight w:val="none"/>
          <w14:textFill>
            <w14:solidFill>
              <w14:schemeClr w14:val="tx1"/>
            </w14:solidFill>
          </w14:textFill>
        </w:rPr>
        <w:t>、技术要求响应及偏离表</w:t>
      </w:r>
    </w:p>
    <w:p w14:paraId="11455021">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480"/>
        <w:contextualSpacing w:val="0"/>
        <w:jc w:val="both"/>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十三、中小企业声明函</w:t>
      </w:r>
    </w:p>
    <w:p w14:paraId="053710B8">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480"/>
        <w:contextualSpacing w:val="0"/>
        <w:jc w:val="both"/>
        <w:rPr>
          <w:rFonts w:hint="default"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十</w:t>
      </w:r>
      <w:r>
        <w:rPr>
          <w:rFonts w:hint="eastAsia" w:ascii="宋体" w:hAnsi="宋体" w:cs="宋体"/>
          <w:color w:val="000000" w:themeColor="text1"/>
          <w:sz w:val="24"/>
          <w:highlight w:val="none"/>
          <w:lang w:val="en-US" w:eastAsia="zh-CN"/>
          <w14:textFill>
            <w14:solidFill>
              <w14:schemeClr w14:val="tx1"/>
            </w14:solidFill>
          </w14:textFill>
        </w:rPr>
        <w:t>四</w:t>
      </w:r>
      <w:r>
        <w:rPr>
          <w:rFonts w:ascii="宋体" w:hAnsi="宋体" w:eastAsia="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技术方案、服务方案</w:t>
      </w:r>
    </w:p>
    <w:p w14:paraId="66C74D00">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480"/>
        <w:contextualSpacing w:val="0"/>
        <w:jc w:val="both"/>
        <w:rPr>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十五、</w:t>
      </w:r>
      <w:r>
        <w:rPr>
          <w:rFonts w:ascii="宋体" w:hAnsi="宋体" w:eastAsia="宋体" w:cs="宋体"/>
          <w:color w:val="000000" w:themeColor="text1"/>
          <w:sz w:val="24"/>
          <w:highlight w:val="none"/>
          <w14:textFill>
            <w14:solidFill>
              <w14:schemeClr w14:val="tx1"/>
            </w14:solidFill>
          </w14:textFill>
        </w:rPr>
        <w:t>投标人情况介绍</w:t>
      </w:r>
    </w:p>
    <w:p w14:paraId="756B3194">
      <w:pPr>
        <w:pBdr>
          <w:top w:val="none" w:color="000000" w:sz="0" w:space="0"/>
          <w:left w:val="none" w:color="000000" w:sz="0" w:space="0"/>
          <w:bottom w:val="none" w:color="000000" w:sz="0" w:space="0"/>
          <w:right w:val="none" w:color="000000" w:sz="0" w:space="0"/>
        </w:pBdr>
        <w:shd w:val="clear"/>
        <w:spacing w:line="360" w:lineRule="auto"/>
        <w:ind w:firstLine="1024"/>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项目负责人及其他人员介绍</w:t>
      </w:r>
    </w:p>
    <w:p w14:paraId="1D982EAD">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1024"/>
        <w:contextualSpacing w:val="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投标人拥有的设施设备情况 </w:t>
      </w:r>
    </w:p>
    <w:p w14:paraId="3BC68BA7">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1024"/>
        <w:contextualSpacing w:val="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类似业绩一览表</w:t>
      </w:r>
    </w:p>
    <w:p w14:paraId="3ADC0CA4">
      <w:pPr>
        <w:pBdr>
          <w:top w:val="none" w:color="000000" w:sz="0" w:space="0"/>
          <w:left w:val="none" w:color="000000" w:sz="0" w:space="0"/>
          <w:bottom w:val="none" w:color="000000" w:sz="0" w:space="0"/>
          <w:right w:val="none" w:color="000000" w:sz="0" w:space="0"/>
        </w:pBdr>
        <w:shd w:val="clear"/>
        <w:spacing w:line="360" w:lineRule="auto"/>
        <w:ind w:firstLine="480"/>
        <w:rPr>
          <w:rFonts w:ascii="黑体" w:hAnsi="黑体" w:eastAsia="黑体" w:cs="黑体"/>
          <w:i/>
          <w:color w:val="000000" w:themeColor="text1"/>
          <w:sz w:val="32"/>
          <w:highlight w:val="none"/>
          <w:u w:val="singl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十</w:t>
      </w:r>
      <w:r>
        <w:rPr>
          <w:rFonts w:hint="eastAsia" w:ascii="宋体" w:hAnsi="宋体" w:cs="宋体"/>
          <w:color w:val="000000" w:themeColor="text1"/>
          <w:sz w:val="24"/>
          <w:highlight w:val="none"/>
          <w:lang w:val="en-US" w:eastAsia="zh-CN"/>
          <w14:textFill>
            <w14:solidFill>
              <w14:schemeClr w14:val="tx1"/>
            </w14:solidFill>
          </w14:textFill>
        </w:rPr>
        <w:t>六</w:t>
      </w:r>
      <w:r>
        <w:rPr>
          <w:rFonts w:ascii="宋体" w:hAnsi="宋体" w:cs="宋体"/>
          <w:color w:val="000000" w:themeColor="text1"/>
          <w:sz w:val="24"/>
          <w:highlight w:val="none"/>
          <w14:textFill>
            <w14:solidFill>
              <w14:schemeClr w14:val="tx1"/>
            </w14:solidFill>
          </w14:textFill>
        </w:rPr>
        <w:t>、其他材料</w:t>
      </w:r>
      <w:r>
        <w:rPr>
          <w:rFonts w:ascii="黑体" w:hAnsi="黑体" w:eastAsia="黑体" w:cs="黑体"/>
          <w:i/>
          <w:color w:val="000000" w:themeColor="text1"/>
          <w:sz w:val="32"/>
          <w:highlight w:val="none"/>
          <w:u w:val="single"/>
          <w14:textFill>
            <w14:solidFill>
              <w14:schemeClr w14:val="tx1"/>
            </w14:solidFill>
          </w14:textFill>
        </w:rPr>
        <w:br w:type="page" w:clear="all"/>
      </w:r>
    </w:p>
    <w:p w14:paraId="505DC2C9">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t>一、法人或者其他组织的营业执照等证明文件，自然人的身份证明</w:t>
      </w:r>
    </w:p>
    <w:p w14:paraId="3EF1B73B">
      <w:pPr>
        <w:pBdr>
          <w:top w:val="none" w:color="000000" w:sz="0" w:space="0"/>
          <w:left w:val="none" w:color="000000" w:sz="0" w:space="0"/>
          <w:bottom w:val="none" w:color="000000" w:sz="0" w:space="0"/>
          <w:right w:val="none" w:color="000000" w:sz="0" w:space="0"/>
        </w:pBdr>
        <w:shd w:val="clear"/>
        <w:spacing w:before="0" w:after="0" w:line="43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20F40439">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t>二、上一年度的财务状况报告</w:t>
      </w:r>
    </w:p>
    <w:p w14:paraId="429AC6A9">
      <w:pPr>
        <w:pBdr>
          <w:top w:val="none" w:color="000000" w:sz="0" w:space="0"/>
          <w:left w:val="none" w:color="000000" w:sz="0" w:space="0"/>
          <w:bottom w:val="none" w:color="000000" w:sz="0" w:space="0"/>
          <w:right w:val="none" w:color="000000" w:sz="0" w:space="0"/>
        </w:pBdr>
        <w:shd w:val="clear"/>
        <w:spacing w:before="0" w:after="0" w:line="43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投标人成立不满一年不需提供</w:t>
      </w:r>
    </w:p>
    <w:p w14:paraId="753B1689">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p>
    <w:p w14:paraId="673BD0D4">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t>三、依法缴纳税收和社会保障资金的相关材料</w:t>
      </w:r>
    </w:p>
    <w:p w14:paraId="313AEF92">
      <w:pPr>
        <w:shd w:val="clear"/>
        <w:spacing w:line="560" w:lineRule="exact"/>
        <w:ind w:left="0" w:firstLine="480" w:firstLineChars="200"/>
        <w:rPr>
          <w:rFonts w:hint="eastAsia" w:hAnsi="宋体" w:eastAsia="宋体" w:cs="宋体"/>
          <w:color w:val="000000" w:themeColor="text1"/>
          <w:sz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t>提供提交投标文件截止时间前一年内至少一个月依法缴纳税收及缴纳社会保障资金的证明材料。投标人依法享受缓缴、免缴税收、社会保障资金的提供证明材料。</w:t>
      </w:r>
    </w:p>
    <w:p w14:paraId="04645380">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p>
    <w:p w14:paraId="38C34BAD">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t>四、具备履行合同所必需的设备和专业技术能力的书面声明</w:t>
      </w:r>
    </w:p>
    <w:p w14:paraId="663874AE">
      <w:pPr>
        <w:shd w:val="clear"/>
        <w:spacing w:line="560" w:lineRule="exact"/>
        <w:ind w:left="0" w:firstLine="0"/>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我单位郑重声明：</w:t>
      </w:r>
    </w:p>
    <w:p w14:paraId="055E1927">
      <w:pPr>
        <w:pBdr>
          <w:top w:val="none" w:color="000000" w:sz="0" w:space="0"/>
          <w:left w:val="none" w:color="000000" w:sz="0" w:space="0"/>
          <w:bottom w:val="none" w:color="000000" w:sz="0" w:space="0"/>
          <w:right w:val="none" w:color="000000" w:sz="0" w:space="0"/>
        </w:pBdr>
        <w:shd w:val="clear"/>
        <w:spacing w:before="0" w:after="0" w:line="460" w:lineRule="atLeast"/>
        <w:ind w:left="0" w:right="0" w:firstLine="492"/>
        <w:jc w:val="both"/>
        <w:rPr>
          <w:rFonts w:ascii="宋体" w:hAnsi="宋体" w:eastAsia="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我单位具备履行本项采购合同所必需的设备和专业技术能力。</w:t>
      </w:r>
    </w:p>
    <w:p w14:paraId="768B31A2">
      <w:pPr>
        <w:pBdr>
          <w:top w:val="none" w:color="000000" w:sz="0" w:space="0"/>
          <w:left w:val="none" w:color="000000" w:sz="0" w:space="0"/>
          <w:bottom w:val="none" w:color="000000" w:sz="0" w:space="0"/>
          <w:right w:val="none" w:color="000000" w:sz="0" w:space="0"/>
        </w:pBdr>
        <w:shd w:val="clear"/>
        <w:spacing w:before="0" w:after="0" w:line="460" w:lineRule="atLeast"/>
        <w:ind w:left="0" w:right="0" w:firstLine="492"/>
        <w:jc w:val="right"/>
        <w:rPr>
          <w:rFonts w:ascii="宋体" w:hAnsi="宋体" w:eastAsia="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投标单位（加盖公章）：</w:t>
      </w:r>
    </w:p>
    <w:p w14:paraId="3E5A6300">
      <w:pPr>
        <w:pBdr>
          <w:top w:val="none" w:color="000000" w:sz="0" w:space="0"/>
          <w:left w:val="none" w:color="000000" w:sz="0" w:space="0"/>
          <w:bottom w:val="none" w:color="000000" w:sz="0" w:space="0"/>
          <w:right w:val="none" w:color="000000" w:sz="0" w:space="0"/>
        </w:pBdr>
        <w:shd w:val="clear"/>
        <w:spacing w:before="0" w:after="0" w:line="46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0E5A151D">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t>五、参加政府采购活动前 3 年内在经营活动中没有重大违法记录的书面声明</w:t>
      </w:r>
    </w:p>
    <w:p w14:paraId="2AF60522">
      <w:pPr>
        <w:pBdr>
          <w:top w:val="none" w:color="000000" w:sz="0" w:space="0"/>
          <w:left w:val="none" w:color="000000" w:sz="0" w:space="0"/>
          <w:bottom w:val="none" w:color="000000" w:sz="0" w:space="0"/>
          <w:right w:val="none" w:color="000000" w:sz="0" w:space="0"/>
        </w:pBdr>
        <w:shd w:val="clear"/>
        <w:spacing w:before="0" w:after="0" w:line="460" w:lineRule="atLeast"/>
        <w:ind w:left="0" w:right="0" w:firstLine="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072F4CBF">
      <w:pPr>
        <w:pBdr>
          <w:top w:val="none" w:color="000000" w:sz="0" w:space="0"/>
          <w:left w:val="none" w:color="000000" w:sz="0" w:space="0"/>
          <w:bottom w:val="none" w:color="000000" w:sz="0" w:space="0"/>
          <w:right w:val="none" w:color="000000" w:sz="0" w:space="0"/>
        </w:pBdr>
        <w:shd w:val="clear"/>
        <w:spacing w:before="0" w:after="0" w:line="460" w:lineRule="atLeast"/>
        <w:ind w:left="0" w:right="0" w:firstLine="0"/>
        <w:jc w:val="right"/>
        <w:rPr>
          <w:rFonts w:ascii="宋体" w:hAnsi="宋体" w:eastAsia="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投标单位（加盖公章）：</w:t>
      </w:r>
    </w:p>
    <w:p w14:paraId="0E39A7FF">
      <w:pPr>
        <w:pBdr>
          <w:top w:val="none" w:color="000000" w:sz="0" w:space="0"/>
          <w:left w:val="none" w:color="000000" w:sz="0" w:space="0"/>
          <w:bottom w:val="none" w:color="000000" w:sz="0" w:space="0"/>
          <w:right w:val="none" w:color="000000" w:sz="0" w:space="0"/>
        </w:pBdr>
        <w:shd w:val="clear"/>
        <w:spacing w:before="0" w:after="0"/>
        <w:ind w:left="0" w:right="0" w:firstLine="0"/>
        <w:jc w:val="both"/>
        <w:rPr>
          <w:rFonts w:hint="eastAsia" w:ascii="宋体" w:hAnsi="宋体" w:eastAsia="宋体" w:cs="宋体"/>
          <w:color w:val="auto"/>
          <w:sz w:val="24"/>
          <w:szCs w:val="24"/>
          <w:highlight w:val="none"/>
          <w14:ligatures w14:val="none"/>
        </w:rPr>
      </w:pPr>
      <w:r>
        <w:rPr>
          <w:rFonts w:hint="eastAsia" w:ascii="黑体" w:hAnsi="黑体" w:eastAsia="黑体" w:cs="黑体"/>
          <w:i/>
          <w:color w:val="000000" w:themeColor="text1"/>
          <w:sz w:val="32"/>
          <w:highlight w:val="none"/>
          <w:u w:val="single"/>
          <w:lang w:val="en-US" w:eastAsia="zh-CN"/>
          <w14:textFill>
            <w14:solidFill>
              <w14:schemeClr w14:val="tx1"/>
            </w14:solidFill>
          </w14:textFill>
        </w:rPr>
        <w:t>六、</w:t>
      </w:r>
      <w:r>
        <w:rPr>
          <w:rFonts w:hint="eastAsia" w:ascii="黑体" w:hAnsi="黑体" w:eastAsia="黑体" w:cs="黑体"/>
          <w:i/>
          <w:color w:val="000000" w:themeColor="text1"/>
          <w:sz w:val="32"/>
          <w:highlight w:val="none"/>
          <w:u w:val="single"/>
          <w14:textFill>
            <w14:solidFill>
              <w14:schemeClr w14:val="tx1"/>
            </w14:solidFill>
          </w14:textFill>
        </w:rPr>
        <w:t>关于资格证明文件的书面承诺</w:t>
      </w:r>
      <w:r>
        <w:rPr>
          <w:rFonts w:hint="eastAsia" w:ascii="宋体" w:hAnsi="宋体" w:eastAsia="宋体" w:cs="宋体"/>
          <w:color w:val="auto"/>
          <w:sz w:val="24"/>
          <w:szCs w:val="24"/>
          <w:highlight w:val="none"/>
          <w14:ligatures w14:val="none"/>
        </w:rPr>
        <w:t> </w:t>
      </w:r>
    </w:p>
    <w:p w14:paraId="46D08ED9">
      <w:pPr>
        <w:widowControl/>
        <w:spacing w:before="240" w:after="240" w:line="360" w:lineRule="auto"/>
        <w:jc w:val="lef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5CB88A13">
      <w:pPr>
        <w:widowControl/>
        <w:spacing w:before="240" w:after="240"/>
        <w:jc w:val="right"/>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投标单位（加盖公章）：</w:t>
      </w:r>
    </w:p>
    <w:p w14:paraId="7DF84A85">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hint="eastAsia" w:ascii="宋体" w:hAnsi="宋体" w:eastAsia="宋体" w:cs="宋体"/>
          <w:color w:val="auto"/>
          <w:sz w:val="24"/>
          <w:szCs w:val="24"/>
          <w:highlight w:val="none"/>
          <w14:ligatures w14:val="none"/>
        </w:rPr>
        <w:t xml:space="preserve">                                       </w:t>
      </w:r>
    </w:p>
    <w:p w14:paraId="3899A74C">
      <w:pPr>
        <w:shd w:val="clear"/>
        <w:rPr>
          <w:rFonts w:ascii="黑体" w:hAnsi="黑体" w:eastAsia="黑体" w:cs="黑体"/>
          <w:i/>
          <w:color w:val="000000" w:themeColor="text1"/>
          <w:sz w:val="32"/>
          <w:highlight w:val="none"/>
          <w:u w:val="singl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br w:type="page" w:clear="all"/>
      </w:r>
    </w:p>
    <w:p w14:paraId="24F2B564">
      <w:pPr>
        <w:pBdr>
          <w:top w:val="none" w:color="000000" w:sz="0" w:space="0"/>
          <w:left w:val="none" w:color="000000" w:sz="0" w:space="0"/>
          <w:bottom w:val="none" w:color="000000" w:sz="0" w:space="0"/>
          <w:right w:val="none" w:color="000000" w:sz="0" w:space="0"/>
        </w:pBdr>
        <w:shd w:val="clear"/>
        <w:spacing w:before="0" w:after="0"/>
        <w:ind w:left="0" w:right="0" w:firstLine="0"/>
        <w:jc w:val="center"/>
        <w:rPr>
          <w:i w:val="0"/>
          <w:iCs/>
          <w:color w:val="000000" w:themeColor="text1"/>
          <w:highlight w:val="none"/>
          <w:u w:val="none"/>
          <w14:textFill>
            <w14:solidFill>
              <w14:schemeClr w14:val="tx1"/>
            </w14:solidFill>
          </w14:textFill>
        </w:rPr>
      </w:pPr>
      <w:r>
        <w:rPr>
          <w:rFonts w:hint="eastAsia" w:ascii="黑体" w:hAnsi="黑体" w:eastAsia="黑体" w:cs="黑体"/>
          <w:i w:val="0"/>
          <w:iCs/>
          <w:color w:val="000000" w:themeColor="text1"/>
          <w:sz w:val="32"/>
          <w:highlight w:val="none"/>
          <w:u w:val="none"/>
          <w:lang w:val="en-US" w:eastAsia="zh-CN"/>
          <w14:textFill>
            <w14:solidFill>
              <w14:schemeClr w14:val="tx1"/>
            </w14:solidFill>
          </w14:textFill>
        </w:rPr>
        <w:t>七</w:t>
      </w:r>
      <w:r>
        <w:rPr>
          <w:rFonts w:ascii="黑体" w:hAnsi="黑体" w:eastAsia="黑体" w:cs="黑体"/>
          <w:i w:val="0"/>
          <w:iCs/>
          <w:color w:val="000000" w:themeColor="text1"/>
          <w:sz w:val="32"/>
          <w:highlight w:val="none"/>
          <w:u w:val="none"/>
          <w14:textFill>
            <w14:solidFill>
              <w14:schemeClr w14:val="tx1"/>
            </w14:solidFill>
          </w14:textFill>
        </w:rPr>
        <w:t>、法人授权书</w:t>
      </w:r>
    </w:p>
    <w:p w14:paraId="7DAD6910">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480"/>
        <w:contextualSpacing/>
        <w:jc w:val="both"/>
        <w:rPr>
          <w:rFonts w:ascii="宋体" w:hAnsi="宋体" w:eastAsia="宋体" w:cs="宋体"/>
          <w:color w:val="000000" w:themeColor="text1"/>
          <w:sz w:val="24"/>
          <w:highlight w:val="none"/>
          <w14:textFill>
            <w14:solidFill>
              <w14:schemeClr w14:val="tx1"/>
            </w14:solidFill>
          </w14:textFill>
        </w:rPr>
      </w:pPr>
    </w:p>
    <w:p w14:paraId="2EBEC81D">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480"/>
        <w:contextualSpacing/>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本授权书声明：</w:t>
      </w:r>
      <w:r>
        <w:rPr>
          <w:rFonts w:ascii="Times New Roman" w:hAnsi="Times New Roman" w:eastAsia="Times New Roman" w:cs="Times New Roman"/>
          <w:color w:val="000000" w:themeColor="text1"/>
          <w:sz w:val="24"/>
          <w:highlight w:val="none"/>
          <w14:textFill>
            <w14:solidFill>
              <w14:schemeClr w14:val="tx1"/>
            </w14:solidFill>
          </w14:textFill>
        </w:rPr>
        <w:t>____________</w:t>
      </w:r>
      <w:r>
        <w:rPr>
          <w:rFonts w:ascii="宋体" w:hAnsi="宋体" w:eastAsia="宋体" w:cs="宋体"/>
          <w:color w:val="000000" w:themeColor="text1"/>
          <w:sz w:val="24"/>
          <w:highlight w:val="none"/>
          <w14:textFill>
            <w14:solidFill>
              <w14:schemeClr w14:val="tx1"/>
            </w14:solidFill>
          </w14:textFill>
        </w:rPr>
        <w:t>（投标人名称）授权</w:t>
      </w:r>
      <w:r>
        <w:rPr>
          <w:rFonts w:ascii="Times New Roman" w:hAnsi="Times New Roman" w:eastAsia="Times New Roman" w:cs="Times New Roman"/>
          <w:color w:val="000000" w:themeColor="text1"/>
          <w:sz w:val="24"/>
          <w:highlight w:val="none"/>
          <w14:textFill>
            <w14:solidFill>
              <w14:schemeClr w14:val="tx1"/>
            </w14:solidFill>
          </w14:textFill>
        </w:rPr>
        <w:t>________________</w:t>
      </w:r>
      <w:r>
        <w:rPr>
          <w:rFonts w:ascii="宋体" w:hAnsi="宋体" w:eastAsia="宋体" w:cs="宋体"/>
          <w:color w:val="000000" w:themeColor="text1"/>
          <w:sz w:val="24"/>
          <w:highlight w:val="none"/>
          <w14:textFill>
            <w14:solidFill>
              <w14:schemeClr w14:val="tx1"/>
            </w14:solidFill>
          </w14:textFill>
        </w:rPr>
        <w:t>（被授权人的姓名）为我方就</w:t>
      </w:r>
      <w:r>
        <w:rPr>
          <w:rFonts w:ascii="Times New Roman" w:hAnsi="Times New Roman" w:eastAsia="Times New Roman" w:cs="Times New Roman"/>
          <w:color w:val="000000" w:themeColor="text1"/>
          <w:sz w:val="24"/>
          <w:highlight w:val="none"/>
          <w14:textFill>
            <w14:solidFill>
              <w14:schemeClr w14:val="tx1"/>
            </w14:solidFill>
          </w14:textFill>
        </w:rPr>
        <w:t>JSZC-</w:t>
      </w:r>
      <w:r>
        <w:rPr>
          <w:rFonts w:ascii="宋体" w:hAnsi="宋体" w:eastAsia="宋体" w:cs="宋体"/>
          <w:color w:val="000000" w:themeColor="text1"/>
          <w:sz w:val="24"/>
          <w:highlight w:val="none"/>
          <w:u w:val="single"/>
          <w14:textFill>
            <w14:solidFill>
              <w14:schemeClr w14:val="tx1"/>
            </w14:solidFill>
          </w14:textFill>
        </w:rPr>
        <w:t>        </w:t>
      </w:r>
      <w:r>
        <w:rPr>
          <w:rFonts w:ascii="宋体" w:hAnsi="宋体" w:eastAsia="宋体" w:cs="宋体"/>
          <w:color w:val="000000" w:themeColor="text1"/>
          <w:sz w:val="24"/>
          <w:highlight w:val="none"/>
          <w14:textFill>
            <w14:solidFill>
              <w14:schemeClr w14:val="tx1"/>
            </w14:solidFill>
          </w14:textFill>
        </w:rPr>
        <w:t>号项目采购活动的合法代理人，以本单位名义全权处理一切与该项目采购有关的事务。</w:t>
      </w:r>
    </w:p>
    <w:p w14:paraId="7B5D6112">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480"/>
        <w:contextualSpacing/>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本授权书于</w:t>
      </w:r>
      <w:r>
        <w:rPr>
          <w:rFonts w:ascii="Times New Roman" w:hAnsi="Times New Roman" w:eastAsia="Times New Roman" w:cs="Times New Roman"/>
          <w:color w:val="000000" w:themeColor="text1"/>
          <w:sz w:val="24"/>
          <w:highlight w:val="none"/>
          <w14:textFill>
            <w14:solidFill>
              <w14:schemeClr w14:val="tx1"/>
            </w14:solidFill>
          </w14:textFill>
        </w:rPr>
        <w:t>______</w:t>
      </w:r>
      <w:r>
        <w:rPr>
          <w:rFonts w:ascii="宋体" w:hAnsi="宋体" w:eastAsia="宋体" w:cs="宋体"/>
          <w:color w:val="000000" w:themeColor="text1"/>
          <w:sz w:val="24"/>
          <w:highlight w:val="none"/>
          <w14:textFill>
            <w14:solidFill>
              <w14:schemeClr w14:val="tx1"/>
            </w14:solidFill>
          </w14:textFill>
        </w:rPr>
        <w:t>年</w:t>
      </w:r>
      <w:r>
        <w:rPr>
          <w:rFonts w:ascii="Times New Roman" w:hAnsi="Times New Roman" w:eastAsia="Times New Roman" w:cs="Times New Roman"/>
          <w:color w:val="000000" w:themeColor="text1"/>
          <w:sz w:val="24"/>
          <w:highlight w:val="none"/>
          <w14:textFill>
            <w14:solidFill>
              <w14:schemeClr w14:val="tx1"/>
            </w14:solidFill>
          </w14:textFill>
        </w:rPr>
        <w:t>____</w:t>
      </w:r>
      <w:r>
        <w:rPr>
          <w:rFonts w:ascii="宋体" w:hAnsi="宋体" w:eastAsia="宋体" w:cs="宋体"/>
          <w:color w:val="000000" w:themeColor="text1"/>
          <w:sz w:val="24"/>
          <w:highlight w:val="none"/>
          <w14:textFill>
            <w14:solidFill>
              <w14:schemeClr w14:val="tx1"/>
            </w14:solidFill>
          </w14:textFill>
        </w:rPr>
        <w:t>月</w:t>
      </w:r>
      <w:r>
        <w:rPr>
          <w:rFonts w:ascii="Times New Roman" w:hAnsi="Times New Roman" w:eastAsia="Times New Roman" w:cs="Times New Roman"/>
          <w:color w:val="000000" w:themeColor="text1"/>
          <w:sz w:val="24"/>
          <w:highlight w:val="none"/>
          <w14:textFill>
            <w14:solidFill>
              <w14:schemeClr w14:val="tx1"/>
            </w14:solidFill>
          </w14:textFill>
        </w:rPr>
        <w:t>____</w:t>
      </w:r>
      <w:r>
        <w:rPr>
          <w:rFonts w:ascii="宋体" w:hAnsi="宋体" w:eastAsia="宋体" w:cs="宋体"/>
          <w:color w:val="000000" w:themeColor="text1"/>
          <w:sz w:val="24"/>
          <w:highlight w:val="none"/>
          <w14:textFill>
            <w14:solidFill>
              <w14:schemeClr w14:val="tx1"/>
            </w14:solidFill>
          </w14:textFill>
        </w:rPr>
        <w:t>日起生效，特此声明。</w:t>
      </w:r>
    </w:p>
    <w:p w14:paraId="6B33A108">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0"/>
        <w:contextualSpacing/>
        <w:jc w:val="both"/>
        <w:rPr>
          <w:rFonts w:ascii="宋体" w:hAnsi="宋体" w:eastAsia="宋体" w:cs="宋体"/>
          <w:color w:val="000000" w:themeColor="text1"/>
          <w:sz w:val="24"/>
          <w:highlight w:val="none"/>
          <w14:textFill>
            <w14:solidFill>
              <w14:schemeClr w14:val="tx1"/>
            </w14:solidFill>
          </w14:textFill>
        </w:rPr>
      </w:pPr>
    </w:p>
    <w:p w14:paraId="7D9393A9">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0"/>
        <w:contextualSpacing/>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被授权人身份证号码：</w:t>
      </w:r>
      <w:r>
        <w:rPr>
          <w:rFonts w:ascii="宋体" w:hAnsi="宋体" w:eastAsia="宋体"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u w:val="single"/>
          <w14:textFill>
            <w14:solidFill>
              <w14:schemeClr w14:val="tx1"/>
            </w14:solidFill>
          </w14:textFill>
        </w:rPr>
        <w:t>   </w:t>
      </w:r>
    </w:p>
    <w:p w14:paraId="762A5EE1">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left="0" w:right="0" w:firstLine="0"/>
        <w:contextualSpacing/>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被授权人联系电话：（手机）</w:t>
      </w:r>
      <w:r>
        <w:rPr>
          <w:rFonts w:ascii="宋体" w:hAnsi="宋体" w:eastAsia="宋体" w:cs="宋体"/>
          <w:color w:val="000000" w:themeColor="text1"/>
          <w:sz w:val="24"/>
          <w:highlight w:val="none"/>
          <w:u w:val="single"/>
          <w14:textFill>
            <w14:solidFill>
              <w14:schemeClr w14:val="tx1"/>
            </w14:solidFill>
          </w14:textFill>
        </w:rPr>
        <w:t>           </w:t>
      </w:r>
    </w:p>
    <w:p w14:paraId="33B827A5">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right="0"/>
        <w:contextualSpacing/>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授权单位名称：</w:t>
      </w:r>
      <w:r>
        <w:rPr>
          <w:rFonts w:ascii="宋体" w:hAnsi="宋体" w:eastAsia="宋体" w:cs="宋体"/>
          <w:color w:val="000000" w:themeColor="text1"/>
          <w:sz w:val="24"/>
          <w:highlight w:val="none"/>
          <w:u w:val="single"/>
          <w14:textFill>
            <w14:solidFill>
              <w14:schemeClr w14:val="tx1"/>
            </w14:solidFill>
          </w14:textFill>
        </w:rPr>
        <w:t>（加盖</w:t>
      </w:r>
      <w:r>
        <w:rPr>
          <w:rFonts w:ascii="Times New Roman" w:hAnsi="Times New Roman" w:eastAsia="Times New Roman" w:cs="Times New Roman"/>
          <w:color w:val="000000" w:themeColor="text1"/>
          <w:sz w:val="24"/>
          <w:highlight w:val="none"/>
          <w:u w:val="single"/>
          <w14:textFill>
            <w14:solidFill>
              <w14:schemeClr w14:val="tx1"/>
            </w14:solidFill>
          </w14:textFill>
        </w:rPr>
        <w:t>CA</w:t>
      </w:r>
      <w:r>
        <w:rPr>
          <w:rFonts w:ascii="宋体" w:hAnsi="宋体" w:eastAsia="宋体" w:cs="宋体"/>
          <w:color w:val="000000" w:themeColor="text1"/>
          <w:sz w:val="24"/>
          <w:highlight w:val="none"/>
          <w:u w:val="single"/>
          <w14:textFill>
            <w14:solidFill>
              <w14:schemeClr w14:val="tx1"/>
            </w14:solidFill>
          </w14:textFill>
        </w:rPr>
        <w:t>电子公章）</w:t>
      </w:r>
    </w:p>
    <w:p w14:paraId="6233A2D8">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right="0"/>
        <w:contextualSpacing/>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单位地址：</w:t>
      </w:r>
      <w:r>
        <w:rPr>
          <w:rFonts w:ascii="宋体" w:hAnsi="宋体" w:eastAsia="宋体" w:cs="宋体"/>
          <w:color w:val="000000" w:themeColor="text1"/>
          <w:sz w:val="24"/>
          <w:highlight w:val="none"/>
          <w:u w:val="single"/>
          <w14:textFill>
            <w14:solidFill>
              <w14:schemeClr w14:val="tx1"/>
            </w14:solidFill>
          </w14:textFill>
        </w:rPr>
        <w:t>            </w:t>
      </w:r>
      <w:r>
        <w:rPr>
          <w:rFonts w:ascii="宋体" w:hAnsi="宋体" w:eastAsia="宋体" w:cs="宋体"/>
          <w:color w:val="000000" w:themeColor="text1"/>
          <w:sz w:val="24"/>
          <w:highlight w:val="none"/>
          <w14:textFill>
            <w14:solidFill>
              <w14:schemeClr w14:val="tx1"/>
            </w14:solidFill>
          </w14:textFill>
        </w:rPr>
        <w:t>      </w:t>
      </w:r>
    </w:p>
    <w:p w14:paraId="1595BB52">
      <w:pPr>
        <w:suppressLineNumbers w:val="0"/>
        <w:pBdr>
          <w:top w:val="none" w:color="000000" w:sz="0" w:space="0"/>
          <w:left w:val="none" w:color="000000" w:sz="0" w:space="0"/>
          <w:bottom w:val="none" w:color="000000" w:sz="0" w:space="0"/>
          <w:right w:val="none" w:color="000000" w:sz="0" w:space="0"/>
        </w:pBdr>
        <w:shd w:val="clear"/>
        <w:spacing w:before="0" w:after="0" w:line="360" w:lineRule="auto"/>
        <w:ind w:right="0"/>
        <w:contextualSpacing/>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日期：</w:t>
      </w:r>
      <w:r>
        <w:rPr>
          <w:rFonts w:ascii="宋体" w:hAnsi="宋体" w:eastAsia="宋体" w:cs="宋体"/>
          <w:color w:val="000000" w:themeColor="text1"/>
          <w:sz w:val="24"/>
          <w:highlight w:val="none"/>
          <w:u w:val="single"/>
          <w14:textFill>
            <w14:solidFill>
              <w14:schemeClr w14:val="tx1"/>
            </w14:solidFill>
          </w14:textFill>
        </w:rPr>
        <w:t>              </w:t>
      </w:r>
    </w:p>
    <w:p w14:paraId="348B7737">
      <w:pPr>
        <w:pBdr>
          <w:top w:val="none" w:color="000000" w:sz="0" w:space="0"/>
          <w:left w:val="none" w:color="000000" w:sz="0" w:space="0"/>
          <w:bottom w:val="none" w:color="000000" w:sz="0" w:space="0"/>
          <w:right w:val="none" w:color="000000" w:sz="0" w:space="0"/>
        </w:pBdr>
        <w:shd w:val="clear"/>
        <w:spacing w:before="240" w:after="240"/>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w:t>
      </w:r>
    </w:p>
    <w:p w14:paraId="51F0CDF2">
      <w:pPr>
        <w:pBdr>
          <w:top w:val="none" w:color="000000" w:sz="0" w:space="0"/>
          <w:left w:val="none" w:color="000000" w:sz="0" w:space="0"/>
          <w:bottom w:val="none" w:color="000000" w:sz="0" w:space="0"/>
          <w:right w:val="none" w:color="000000" w:sz="0" w:space="0"/>
        </w:pBdr>
        <w:shd w:val="clear"/>
        <w:spacing w:before="0" w:after="0" w:line="460" w:lineRule="atLeast"/>
        <w:ind w:left="0" w:right="0" w:firstLine="0"/>
        <w:jc w:val="both"/>
        <w:rPr>
          <w:color w:val="000000" w:themeColor="text1"/>
          <w:highlight w:val="none"/>
          <w14:textFill>
            <w14:solidFill>
              <w14:schemeClr w14:val="tx1"/>
            </w14:solidFill>
          </w14:textFill>
        </w:rPr>
      </w:pPr>
      <w:r>
        <w:rPr>
          <w:rFonts w:ascii="楷体" w:hAnsi="楷体" w:eastAsia="楷体" w:cs="楷体"/>
          <w:color w:val="000000" w:themeColor="text1"/>
          <w:sz w:val="24"/>
          <w:highlight w:val="none"/>
          <w14:textFill>
            <w14:solidFill>
              <w14:schemeClr w14:val="tx1"/>
            </w14:solidFill>
          </w14:textFill>
        </w:rPr>
        <w:t> </w:t>
      </w:r>
    </w:p>
    <w:p w14:paraId="050CC097">
      <w:pPr>
        <w:pBdr>
          <w:top w:val="none" w:color="000000" w:sz="0" w:space="0"/>
          <w:left w:val="none" w:color="000000" w:sz="0" w:space="0"/>
          <w:bottom w:val="none" w:color="000000" w:sz="0" w:space="0"/>
          <w:right w:val="none" w:color="000000" w:sz="0" w:space="0"/>
        </w:pBdr>
        <w:shd w:val="clear"/>
        <w:spacing w:before="0" w:after="0"/>
        <w:ind w:left="0" w:right="0" w:firstLine="0"/>
        <w:jc w:val="center"/>
        <w:rPr>
          <w:i w:val="0"/>
          <w:iCs/>
          <w:color w:val="000000" w:themeColor="text1"/>
          <w:highlight w:val="none"/>
          <w:u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hAnsi="黑体" w:eastAsia="黑体" w:cs="黑体"/>
          <w:b/>
          <w:i w:val="0"/>
          <w:iCs/>
          <w:color w:val="000000" w:themeColor="text1"/>
          <w:sz w:val="32"/>
          <w:highlight w:val="none"/>
          <w:u w:val="none"/>
          <w:lang w:val="en-US" w:eastAsia="zh-CN"/>
          <w14:textFill>
            <w14:solidFill>
              <w14:schemeClr w14:val="tx1"/>
            </w14:solidFill>
          </w14:textFill>
        </w:rPr>
        <w:t>八</w:t>
      </w:r>
      <w:r>
        <w:rPr>
          <w:rFonts w:ascii="黑体" w:hAnsi="黑体" w:eastAsia="黑体" w:cs="黑体"/>
          <w:b/>
          <w:i w:val="0"/>
          <w:iCs/>
          <w:color w:val="000000" w:themeColor="text1"/>
          <w:sz w:val="32"/>
          <w:highlight w:val="none"/>
          <w:u w:val="none"/>
          <w14:textFill>
            <w14:solidFill>
              <w14:schemeClr w14:val="tx1"/>
            </w14:solidFill>
          </w14:textFill>
        </w:rPr>
        <w:t>、投标函</w:t>
      </w:r>
    </w:p>
    <w:p w14:paraId="3E4335DB">
      <w:pPr>
        <w:pBdr>
          <w:top w:val="none" w:color="000000" w:sz="0" w:space="0"/>
          <w:left w:val="none" w:color="000000" w:sz="0" w:space="0"/>
          <w:bottom w:val="none" w:color="000000" w:sz="0" w:space="0"/>
          <w:right w:val="none" w:color="000000" w:sz="0" w:space="0"/>
        </w:pBdr>
        <w:shd w:val="clear"/>
        <w:spacing w:before="0" w:after="0" w:line="419" w:lineRule="atLeast"/>
        <w:ind w:left="0" w:right="0" w:firstLine="0"/>
        <w:rPr>
          <w:rFonts w:ascii="宋体" w:hAnsi="宋体" w:eastAsia="宋体" w:cs="宋体"/>
          <w:color w:val="000000" w:themeColor="text1"/>
          <w:sz w:val="24"/>
          <w:highlight w:val="none"/>
          <w14:textFill>
            <w14:solidFill>
              <w14:schemeClr w14:val="tx1"/>
            </w14:solidFill>
          </w14:textFill>
        </w:rPr>
      </w:pPr>
    </w:p>
    <w:p w14:paraId="3256F945">
      <w:pPr>
        <w:pBdr>
          <w:top w:val="none" w:color="000000" w:sz="0" w:space="0"/>
          <w:left w:val="none" w:color="000000" w:sz="0" w:space="0"/>
          <w:bottom w:val="none" w:color="000000" w:sz="0" w:space="0"/>
          <w:right w:val="none" w:color="000000" w:sz="0" w:space="0"/>
        </w:pBdr>
        <w:shd w:val="clear"/>
        <w:spacing w:before="0" w:after="0" w:line="419"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致：江苏仁合中惠工程咨询有限公司</w:t>
      </w:r>
    </w:p>
    <w:p w14:paraId="0EF9884B">
      <w:pPr>
        <w:pBdr>
          <w:top w:val="none" w:color="000000" w:sz="0" w:space="0"/>
          <w:left w:val="none" w:color="000000" w:sz="0" w:space="0"/>
          <w:bottom w:val="none" w:color="000000" w:sz="0" w:space="0"/>
          <w:right w:val="none" w:color="000000" w:sz="0" w:space="0"/>
        </w:pBdr>
        <w:shd w:val="clear"/>
        <w:spacing w:before="0" w:after="0" w:line="419"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根据贵方的</w:t>
      </w:r>
      <w:r>
        <w:rPr>
          <w:rFonts w:ascii="Arial" w:hAnsi="Arial" w:eastAsia="Arial" w:cs="Arial"/>
          <w:color w:val="000000" w:themeColor="text1"/>
          <w:sz w:val="24"/>
          <w:highlight w:val="none"/>
          <w14:textFill>
            <w14:solidFill>
              <w14:schemeClr w14:val="tx1"/>
            </w14:solidFill>
          </w14:textFill>
        </w:rPr>
        <w:t>JSZC-</w:t>
      </w:r>
      <w:r>
        <w:rPr>
          <w:rFonts w:ascii="宋体" w:hAnsi="宋体" w:eastAsia="宋体" w:cs="宋体"/>
          <w:color w:val="000000" w:themeColor="text1"/>
          <w:sz w:val="24"/>
          <w:highlight w:val="none"/>
          <w:u w:val="single"/>
          <w14:textFill>
            <w14:solidFill>
              <w14:schemeClr w14:val="tx1"/>
            </w14:solidFill>
          </w14:textFill>
        </w:rPr>
        <w:t>         </w:t>
      </w:r>
      <w:r>
        <w:rPr>
          <w:rFonts w:ascii="宋体" w:hAnsi="宋体" w:eastAsia="宋体" w:cs="宋体"/>
          <w:color w:val="000000" w:themeColor="text1"/>
          <w:sz w:val="24"/>
          <w:highlight w:val="none"/>
          <w14:textFill>
            <w14:solidFill>
              <w14:schemeClr w14:val="tx1"/>
            </w14:solidFill>
          </w14:textFill>
        </w:rPr>
        <w:t>号招标文件，正式授权下述签字人____(姓名)代表我方______________（投标人的名称），全权处理本次项目投标的有关事宜。</w:t>
      </w:r>
    </w:p>
    <w:p w14:paraId="5B8F2CE4">
      <w:pPr>
        <w:pBdr>
          <w:top w:val="none" w:color="000000" w:sz="0" w:space="0"/>
          <w:left w:val="none" w:color="000000" w:sz="0" w:space="0"/>
          <w:bottom w:val="none" w:color="000000" w:sz="0" w:space="0"/>
          <w:right w:val="none" w:color="000000" w:sz="0" w:space="0"/>
        </w:pBdr>
        <w:shd w:val="clear"/>
        <w:spacing w:before="0" w:after="0" w:line="419"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据此函，签字人兹宣布同意如下：</w:t>
      </w:r>
    </w:p>
    <w:p w14:paraId="39841ACC">
      <w:pPr>
        <w:pBdr>
          <w:top w:val="none" w:color="000000" w:sz="0" w:space="0"/>
          <w:left w:val="none" w:color="000000" w:sz="0" w:space="0"/>
          <w:bottom w:val="none" w:color="000000" w:sz="0" w:space="0"/>
          <w:right w:val="none" w:color="000000" w:sz="0" w:space="0"/>
        </w:pBdr>
        <w:shd w:val="clear"/>
        <w:spacing w:before="0" w:after="0" w:line="419"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1.按招标文件规定的各项要求，向买方提供所需服务（包含与服务相关的货物）。</w:t>
      </w:r>
    </w:p>
    <w:p w14:paraId="3B7DE6D4">
      <w:pPr>
        <w:pBdr>
          <w:top w:val="none" w:color="000000" w:sz="0" w:space="0"/>
          <w:left w:val="none" w:color="000000" w:sz="0" w:space="0"/>
          <w:bottom w:val="none" w:color="000000" w:sz="0" w:space="0"/>
          <w:right w:val="none" w:color="000000" w:sz="0" w:space="0"/>
        </w:pBdr>
        <w:shd w:val="clear"/>
        <w:spacing w:before="0" w:after="0" w:line="419"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2.我们完全理解贵方不一定将合同授予最低报价的投标人。</w:t>
      </w:r>
    </w:p>
    <w:p w14:paraId="7A882D6D">
      <w:pPr>
        <w:pBdr>
          <w:top w:val="none" w:color="000000" w:sz="0" w:space="0"/>
          <w:left w:val="none" w:color="000000" w:sz="0" w:space="0"/>
          <w:bottom w:val="none" w:color="000000" w:sz="0" w:space="0"/>
          <w:right w:val="none" w:color="000000" w:sz="0" w:space="0"/>
        </w:pBdr>
        <w:shd w:val="clear"/>
        <w:spacing w:before="0" w:after="0" w:line="419"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3.我们已详细审核全部招标文件及其有效补充文件，我们知道必须放弃提出含糊不清或误解问题的权利。</w:t>
      </w:r>
    </w:p>
    <w:p w14:paraId="0732BB46">
      <w:pPr>
        <w:pBdr>
          <w:top w:val="none" w:color="000000" w:sz="0" w:space="0"/>
          <w:left w:val="none" w:color="000000" w:sz="0" w:space="0"/>
          <w:bottom w:val="none" w:color="000000" w:sz="0" w:space="0"/>
          <w:right w:val="none" w:color="000000" w:sz="0" w:space="0"/>
        </w:pBdr>
        <w:shd w:val="clear"/>
        <w:spacing w:before="0" w:after="0" w:line="419"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4.我们同意从规定的开标日期起遵循本投标文件，并在规定的投标有效期期满之前均具有约束力。</w:t>
      </w:r>
    </w:p>
    <w:p w14:paraId="5AC3CB9F">
      <w:pPr>
        <w:pBdr>
          <w:top w:val="none" w:color="000000" w:sz="0" w:space="0"/>
          <w:left w:val="none" w:color="000000" w:sz="0" w:space="0"/>
          <w:bottom w:val="none" w:color="000000" w:sz="0" w:space="0"/>
          <w:right w:val="none" w:color="000000" w:sz="0" w:space="0"/>
        </w:pBdr>
        <w:shd w:val="clear"/>
        <w:spacing w:before="0" w:after="0" w:line="419"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5.同意向贵方提供贵方可能另外要求的与投标有关的任何证据或资料，并保证我方已提供和将要提供的文件是真实的、准确的。</w:t>
      </w:r>
    </w:p>
    <w:p w14:paraId="47D1FBC0">
      <w:pPr>
        <w:pBdr>
          <w:top w:val="none" w:color="000000" w:sz="0" w:space="0"/>
          <w:left w:val="none" w:color="000000" w:sz="0" w:space="0"/>
          <w:bottom w:val="none" w:color="000000" w:sz="0" w:space="0"/>
          <w:right w:val="none" w:color="000000" w:sz="0" w:space="0"/>
        </w:pBdr>
        <w:shd w:val="clear"/>
        <w:spacing w:before="0" w:after="0" w:line="419"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6.一旦我方中标,我方将根据招标文件的规定，严格履行合同的责任和义务,并保证在招标文件规定的时间完成项目，交付买方验收、使用。</w:t>
      </w:r>
    </w:p>
    <w:p w14:paraId="56E15422">
      <w:pPr>
        <w:pBdr>
          <w:top w:val="none" w:color="000000" w:sz="0" w:space="0"/>
          <w:left w:val="none" w:color="000000" w:sz="0" w:space="0"/>
          <w:bottom w:val="none" w:color="000000" w:sz="0" w:space="0"/>
          <w:right w:val="none" w:color="000000" w:sz="0" w:space="0"/>
        </w:pBdr>
        <w:shd w:val="clear"/>
        <w:spacing w:before="0" w:after="0" w:line="419"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7.与本投标有关的正式通讯地址为：</w:t>
      </w:r>
    </w:p>
    <w:p w14:paraId="0B0135F0">
      <w:pPr>
        <w:pBdr>
          <w:top w:val="none" w:color="000000" w:sz="0" w:space="0"/>
          <w:left w:val="none" w:color="000000" w:sz="0" w:space="0"/>
          <w:bottom w:val="none" w:color="000000" w:sz="0" w:space="0"/>
          <w:right w:val="none" w:color="000000" w:sz="0" w:space="0"/>
        </w:pBdr>
        <w:shd w:val="clea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地址：</w:t>
      </w:r>
    </w:p>
    <w:p w14:paraId="26D53D65">
      <w:pPr>
        <w:pBdr>
          <w:top w:val="none" w:color="000000" w:sz="0" w:space="0"/>
          <w:left w:val="none" w:color="000000" w:sz="0" w:space="0"/>
          <w:bottom w:val="none" w:color="000000" w:sz="0" w:space="0"/>
          <w:right w:val="none" w:color="000000" w:sz="0" w:space="0"/>
        </w:pBdr>
        <w:shd w:val="clea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邮编：</w:t>
      </w:r>
    </w:p>
    <w:p w14:paraId="17E04C1E">
      <w:pPr>
        <w:pBdr>
          <w:top w:val="none" w:color="000000" w:sz="0" w:space="0"/>
          <w:left w:val="none" w:color="000000" w:sz="0" w:space="0"/>
          <w:bottom w:val="none" w:color="000000" w:sz="0" w:space="0"/>
          <w:right w:val="none" w:color="000000" w:sz="0" w:space="0"/>
        </w:pBdr>
        <w:shd w:val="clea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电话：</w:t>
      </w:r>
    </w:p>
    <w:p w14:paraId="15A473B8">
      <w:pPr>
        <w:pBdr>
          <w:top w:val="none" w:color="000000" w:sz="0" w:space="0"/>
          <w:left w:val="none" w:color="000000" w:sz="0" w:space="0"/>
          <w:bottom w:val="none" w:color="000000" w:sz="0" w:space="0"/>
          <w:right w:val="none" w:color="000000" w:sz="0" w:space="0"/>
        </w:pBdr>
        <w:shd w:val="clea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传真：</w:t>
      </w:r>
    </w:p>
    <w:p w14:paraId="1C86C5CF">
      <w:pPr>
        <w:pBdr>
          <w:top w:val="none" w:color="000000" w:sz="0" w:space="0"/>
          <w:left w:val="none" w:color="000000" w:sz="0" w:space="0"/>
          <w:bottom w:val="none" w:color="000000" w:sz="0" w:space="0"/>
          <w:right w:val="none" w:color="000000" w:sz="0" w:space="0"/>
        </w:pBdr>
        <w:shd w:val="clea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投标人开户行：</w:t>
      </w:r>
    </w:p>
    <w:p w14:paraId="73189C0E">
      <w:pPr>
        <w:pBdr>
          <w:top w:val="none" w:color="000000" w:sz="0" w:space="0"/>
          <w:left w:val="none" w:color="000000" w:sz="0" w:space="0"/>
          <w:bottom w:val="none" w:color="000000" w:sz="0" w:space="0"/>
          <w:right w:val="none" w:color="000000" w:sz="0" w:space="0"/>
        </w:pBdr>
        <w:shd w:val="clea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账号： </w:t>
      </w:r>
    </w:p>
    <w:p w14:paraId="134F64CA">
      <w:pPr>
        <w:pBdr>
          <w:top w:val="none" w:color="000000" w:sz="0" w:space="0"/>
          <w:left w:val="none" w:color="000000" w:sz="0" w:space="0"/>
          <w:bottom w:val="none" w:color="000000" w:sz="0" w:space="0"/>
          <w:right w:val="none" w:color="000000" w:sz="0" w:space="0"/>
        </w:pBdr>
        <w:shd w:val="clea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日期：________年____月____日</w:t>
      </w:r>
    </w:p>
    <w:p w14:paraId="473CB342">
      <w:pPr>
        <w:pBdr>
          <w:top w:val="none" w:color="000000" w:sz="0" w:space="0"/>
          <w:left w:val="none" w:color="000000" w:sz="0" w:space="0"/>
          <w:bottom w:val="none" w:color="000000" w:sz="0" w:space="0"/>
          <w:right w:val="none" w:color="000000" w:sz="0" w:space="0"/>
        </w:pBdr>
        <w:shd w:val="clear"/>
        <w:spacing w:before="0" w:after="0" w:line="559" w:lineRule="atLeast"/>
        <w:ind w:left="0" w:right="0" w:firstLine="24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10D6F316">
      <w:pPr>
        <w:pBdr>
          <w:top w:val="none" w:color="000000" w:sz="0" w:space="0"/>
          <w:left w:val="none" w:color="000000" w:sz="0" w:space="0"/>
          <w:bottom w:val="none" w:color="000000" w:sz="0" w:space="0"/>
          <w:right w:val="none" w:color="000000" w:sz="0" w:space="0"/>
        </w:pBdr>
        <w:shd w:val="clear"/>
        <w:spacing w:before="0" w:after="0" w:line="559" w:lineRule="atLeast"/>
        <w:ind w:left="0" w:right="0" w:firstLine="24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1AB879D1">
      <w:pPr>
        <w:pBdr>
          <w:top w:val="none" w:color="000000" w:sz="0" w:space="0"/>
          <w:left w:val="none" w:color="000000" w:sz="0" w:space="0"/>
          <w:bottom w:val="none" w:color="000000" w:sz="0" w:space="0"/>
          <w:right w:val="none" w:color="000000" w:sz="0" w:space="0"/>
        </w:pBdr>
        <w:shd w:val="clear"/>
        <w:spacing w:before="0" w:after="0" w:line="559" w:lineRule="atLeast"/>
        <w:ind w:left="0" w:right="0" w:firstLine="24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3C20C413">
      <w:pPr>
        <w:pBdr>
          <w:top w:val="none" w:color="000000" w:sz="0" w:space="0"/>
          <w:left w:val="none" w:color="000000" w:sz="0" w:space="0"/>
          <w:bottom w:val="none" w:color="000000" w:sz="0" w:space="0"/>
          <w:right w:val="none" w:color="000000" w:sz="0" w:space="0"/>
        </w:pBdr>
        <w:shd w:val="clear"/>
        <w:spacing w:before="0" w:after="0" w:line="559" w:lineRule="atLeast"/>
        <w:ind w:left="0" w:right="0" w:firstLine="24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1D1788EB">
      <w:pPr>
        <w:pBdr>
          <w:top w:val="none" w:color="000000" w:sz="0" w:space="0"/>
          <w:left w:val="none" w:color="000000" w:sz="0" w:space="0"/>
          <w:bottom w:val="none" w:color="000000" w:sz="0" w:space="0"/>
          <w:right w:val="none" w:color="000000" w:sz="0" w:space="0"/>
        </w:pBdr>
        <w:shd w:val="clear"/>
        <w:spacing w:before="0" w:after="0" w:line="559" w:lineRule="atLeast"/>
        <w:ind w:left="0" w:right="0" w:firstLine="24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6F2B6F7D">
      <w:pPr>
        <w:pBdr>
          <w:top w:val="none" w:color="000000" w:sz="0" w:space="0"/>
          <w:left w:val="none" w:color="000000" w:sz="0" w:space="0"/>
          <w:bottom w:val="none" w:color="000000" w:sz="0" w:space="0"/>
          <w:right w:val="none" w:color="000000" w:sz="0" w:space="0"/>
        </w:pBdr>
        <w:shd w:val="clear"/>
        <w:spacing w:before="0" w:after="0" w:line="460"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14:paraId="180A43BB">
      <w:pPr>
        <w:shd w:val="clear"/>
        <w:rPr>
          <w:rFonts w:hint="eastAsia" w:ascii="黑体" w:hAnsi="黑体" w:eastAsia="黑体" w:cs="黑体"/>
          <w:b/>
          <w:i/>
          <w:color w:val="000000" w:themeColor="text1"/>
          <w:sz w:val="32"/>
          <w:highlight w:val="none"/>
          <w:u w:val="single"/>
          <w14:textFill>
            <w14:solidFill>
              <w14:schemeClr w14:val="tx1"/>
            </w14:solidFill>
          </w14:textFill>
        </w:rPr>
      </w:pPr>
      <w:bookmarkStart w:id="174" w:name="_Toc30919"/>
      <w:bookmarkStart w:id="175" w:name="_Toc29213"/>
      <w:bookmarkStart w:id="176" w:name="_Toc27315"/>
      <w:r>
        <w:rPr>
          <w:rFonts w:hint="eastAsia" w:ascii="黑体" w:hAnsi="黑体" w:eastAsia="黑体" w:cs="黑体"/>
          <w:b/>
          <w:i/>
          <w:color w:val="000000" w:themeColor="text1"/>
          <w:sz w:val="32"/>
          <w:highlight w:val="none"/>
          <w:u w:val="single"/>
          <w:lang w:val="en-US" w:eastAsia="zh-CN"/>
          <w14:textFill>
            <w14:solidFill>
              <w14:schemeClr w14:val="tx1"/>
            </w14:solidFill>
          </w14:textFill>
        </w:rPr>
        <w:br w:type="page" w:clear="all"/>
      </w:r>
    </w:p>
    <w:p w14:paraId="4820252B">
      <w:pPr>
        <w:pBdr>
          <w:top w:val="none" w:color="000000" w:sz="0" w:space="0"/>
          <w:left w:val="none" w:color="000000" w:sz="0" w:space="0"/>
          <w:bottom w:val="none" w:color="000000" w:sz="0" w:space="0"/>
          <w:right w:val="none" w:color="000000" w:sz="0" w:space="0"/>
        </w:pBdr>
        <w:shd w:val="clear"/>
        <w:spacing w:before="0" w:after="0"/>
        <w:ind w:left="0" w:right="0" w:firstLine="0"/>
        <w:jc w:val="center"/>
        <w:rPr>
          <w:rFonts w:hint="eastAsia" w:ascii="黑体" w:hAnsi="黑体" w:eastAsia="黑体" w:cs="黑体"/>
          <w:b/>
          <w:i w:val="0"/>
          <w:iCs/>
          <w:color w:val="000000" w:themeColor="text1"/>
          <w:sz w:val="32"/>
          <w:highlight w:val="none"/>
          <w:u w:val="none"/>
          <w:lang w:eastAsia="zh-CN"/>
          <w14:textFill>
            <w14:solidFill>
              <w14:schemeClr w14:val="tx1"/>
            </w14:solidFill>
          </w14:textFill>
        </w:rPr>
      </w:pPr>
      <w:r>
        <w:rPr>
          <w:rFonts w:hint="eastAsia" w:ascii="黑体" w:hAnsi="黑体" w:eastAsia="黑体" w:cs="黑体"/>
          <w:b/>
          <w:i w:val="0"/>
          <w:iCs/>
          <w:color w:val="000000" w:themeColor="text1"/>
          <w:sz w:val="32"/>
          <w:highlight w:val="none"/>
          <w:u w:val="none"/>
          <w:lang w:val="en-US" w:eastAsia="zh-CN"/>
          <w14:textFill>
            <w14:solidFill>
              <w14:schemeClr w14:val="tx1"/>
            </w14:solidFill>
          </w14:textFill>
        </w:rPr>
        <w:t>九、</w:t>
      </w:r>
      <w:r>
        <w:rPr>
          <w:rFonts w:hint="eastAsia" w:ascii="黑体" w:hAnsi="黑体" w:eastAsia="黑体" w:cs="黑体"/>
          <w:b/>
          <w:i w:val="0"/>
          <w:iCs/>
          <w:color w:val="000000" w:themeColor="text1"/>
          <w:sz w:val="32"/>
          <w:highlight w:val="none"/>
          <w:u w:val="none"/>
          <w14:textFill>
            <w14:solidFill>
              <w14:schemeClr w14:val="tx1"/>
            </w14:solidFill>
          </w14:textFill>
        </w:rPr>
        <w:t>开标一览表</w:t>
      </w:r>
      <w:bookmarkEnd w:id="174"/>
      <w:bookmarkEnd w:id="175"/>
      <w:bookmarkEnd w:id="176"/>
      <w:r>
        <w:rPr>
          <w:rFonts w:hint="eastAsia" w:ascii="黑体" w:hAnsi="黑体" w:eastAsia="黑体" w:cs="黑体"/>
          <w:b/>
          <w:i w:val="0"/>
          <w:iCs/>
          <w:color w:val="000000" w:themeColor="text1"/>
          <w:sz w:val="32"/>
          <w:highlight w:val="none"/>
          <w:u w:val="none"/>
          <w:lang w:eastAsia="zh-CN"/>
          <w14:textFill>
            <w14:solidFill>
              <w14:schemeClr w14:val="tx1"/>
            </w14:solidFill>
          </w14:textFill>
        </w:rPr>
        <w:t>（</w:t>
      </w:r>
      <w:r>
        <w:rPr>
          <w:rFonts w:hint="eastAsia" w:ascii="黑体" w:hAnsi="黑体" w:eastAsia="黑体" w:cs="黑体"/>
          <w:b/>
          <w:i w:val="0"/>
          <w:iCs/>
          <w:color w:val="000000" w:themeColor="text1"/>
          <w:sz w:val="32"/>
          <w:highlight w:val="none"/>
          <w:u w:val="none"/>
          <w:lang w:val="en-US" w:eastAsia="zh-CN"/>
          <w14:textFill>
            <w14:solidFill>
              <w14:schemeClr w14:val="tx1"/>
            </w14:solidFill>
          </w14:textFill>
        </w:rPr>
        <w:t>总报价</w:t>
      </w:r>
      <w:r>
        <w:rPr>
          <w:rFonts w:hint="eastAsia" w:ascii="黑体" w:hAnsi="黑体" w:eastAsia="黑体" w:cs="黑体"/>
          <w:b/>
          <w:i w:val="0"/>
          <w:iCs/>
          <w:color w:val="000000" w:themeColor="text1"/>
          <w:sz w:val="32"/>
          <w:highlight w:val="none"/>
          <w:u w:val="none"/>
          <w:lang w:eastAsia="zh-CN"/>
          <w14:textFill>
            <w14:solidFill>
              <w14:schemeClr w14:val="tx1"/>
            </w14:solidFill>
          </w14:textFill>
        </w:rPr>
        <w:t>）</w:t>
      </w:r>
    </w:p>
    <w:p w14:paraId="7A992283">
      <w:pPr>
        <w:shd w:val="clear"/>
        <w:ind w:firstLine="2731"/>
        <w:rPr>
          <w:rFonts w:hint="eastAsia" w:ascii="宋体" w:hAnsi="宋体"/>
          <w:b/>
          <w:bCs/>
          <w:color w:val="000000" w:themeColor="text1"/>
          <w:sz w:val="32"/>
          <w:szCs w:val="32"/>
          <w:highlight w:val="none"/>
          <w14:textFill>
            <w14:solidFill>
              <w14:schemeClr w14:val="tx1"/>
            </w14:solidFill>
          </w14:textFill>
        </w:rPr>
      </w:pPr>
    </w:p>
    <w:p w14:paraId="2FA97A4E">
      <w:pPr>
        <w:shd w:val="clear"/>
        <w:ind w:firstLine="0"/>
        <w:rPr>
          <w:rFonts w:hint="eastAsia" w:ascii="宋体" w:hAnsi="宋体" w:cs="宋体"/>
          <w:color w:val="000000" w:themeColor="text1"/>
          <w:sz w:val="24"/>
          <w:highlight w:val="none"/>
          <w14:textFill>
            <w14:solidFill>
              <w14:schemeClr w14:val="tx1"/>
            </w14:solidFill>
          </w14:textFill>
        </w:rPr>
      </w:pPr>
    </w:p>
    <w:p w14:paraId="610A37EB">
      <w:pPr>
        <w:shd w:val="clear"/>
        <w:spacing w:line="360" w:lineRule="auto"/>
        <w:ind w:firstLine="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投标</w:t>
      </w:r>
      <w:r>
        <w:rPr>
          <w:rFonts w:hint="eastAsia" w:ascii="宋体" w:hAnsi="宋体" w:cs="宋体"/>
          <w:color w:val="000000" w:themeColor="text1"/>
          <w:sz w:val="24"/>
          <w:highlight w:val="none"/>
          <w:lang w:val="en-US" w:eastAsia="zh-CN"/>
          <w14:textFill>
            <w14:solidFill>
              <w14:schemeClr w14:val="tx1"/>
            </w14:solidFill>
          </w14:textFill>
        </w:rPr>
        <w:t>人</w:t>
      </w:r>
      <w:r>
        <w:rPr>
          <w:rFonts w:hint="eastAsia" w:ascii="宋体" w:hAnsi="宋体" w:cs="宋体"/>
          <w:color w:val="000000" w:themeColor="text1"/>
          <w:sz w:val="24"/>
          <w:highlight w:val="none"/>
          <w14:textFill>
            <w14:solidFill>
              <w14:schemeClr w14:val="tx1"/>
            </w14:solidFill>
          </w14:textFill>
        </w:rPr>
        <w:t xml:space="preserve">全称（加盖公章）：                   </w:t>
      </w:r>
      <w:r>
        <w:rPr>
          <w:rFonts w:hint="eastAsia" w:ascii="宋体" w:hAnsi="宋体" w:cs="宋体"/>
          <w:color w:val="000000" w:themeColor="text1"/>
          <w:sz w:val="24"/>
          <w:highlight w:val="none"/>
          <w:lang w:val="en-US" w:eastAsia="zh-CN"/>
          <w14:textFill>
            <w14:solidFill>
              <w14:schemeClr w14:val="tx1"/>
            </w14:solidFill>
          </w14:textFill>
        </w:rPr>
        <w:t xml:space="preserve">              </w:t>
      </w:r>
    </w:p>
    <w:p w14:paraId="45E0B3E8">
      <w:pPr>
        <w:shd w:val="clear"/>
        <w:spacing w:line="360" w:lineRule="auto"/>
        <w:ind w:firstLine="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项目编号：</w:t>
      </w:r>
    </w:p>
    <w:p w14:paraId="1316818F">
      <w:pPr>
        <w:shd w:val="clear"/>
        <w:spacing w:line="360" w:lineRule="auto"/>
        <w:ind w:firstLine="0"/>
        <w:rPr>
          <w:rFonts w:hint="eastAsia"/>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分包号：</w:t>
      </w:r>
    </w:p>
    <w:tbl>
      <w:tblPr>
        <w:tblStyle w:val="36"/>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835"/>
        <w:gridCol w:w="6326"/>
      </w:tblGrid>
      <w:tr w14:paraId="141B0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jc w:val="center"/>
        </w:trPr>
        <w:tc>
          <w:tcPr>
            <w:tcW w:w="2835" w:type="dxa"/>
            <w:noWrap w:val="0"/>
            <w:tcMar>
              <w:top w:w="0" w:type="dxa"/>
              <w:left w:w="0" w:type="dxa"/>
              <w:bottom w:w="0" w:type="dxa"/>
              <w:right w:w="0" w:type="dxa"/>
            </w:tcMar>
            <w:vAlign w:val="center"/>
          </w:tcPr>
          <w:p w14:paraId="6C05A98A">
            <w:pPr>
              <w:pStyle w:val="653"/>
              <w:shd w:val="clear"/>
              <w:jc w:val="center"/>
              <w:outlineLvl w:val="9"/>
              <w:rPr>
                <w:rStyle w:val="652"/>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652"/>
                <w:rFonts w:hint="eastAsia" w:ascii="宋体" w:hAnsi="宋体" w:eastAsia="宋体" w:cs="宋体"/>
                <w:b w:val="0"/>
                <w:bCs w:val="0"/>
                <w:i w:val="0"/>
                <w:iCs w:val="0"/>
                <w:smallCaps w:val="0"/>
                <w:color w:val="000000" w:themeColor="text1"/>
                <w:sz w:val="24"/>
                <w:szCs w:val="24"/>
                <w:highlight w:val="none"/>
                <w:lang w:val="en-US"/>
                <w14:textFill>
                  <w14:solidFill>
                    <w14:schemeClr w14:val="tx1"/>
                  </w14:solidFill>
                </w14:textFill>
              </w:rPr>
              <w:t>项目</w:t>
            </w:r>
            <w:r>
              <w:rPr>
                <w:rStyle w:val="652"/>
                <w:rFonts w:ascii="宋体" w:hAnsi="宋体" w:eastAsia="宋体" w:cs="宋体"/>
                <w:b w:val="0"/>
                <w:bCs w:val="0"/>
                <w:i w:val="0"/>
                <w:iCs w:val="0"/>
                <w:smallCaps w:val="0"/>
                <w:color w:val="000000" w:themeColor="text1"/>
                <w:sz w:val="24"/>
                <w:szCs w:val="24"/>
                <w:highlight w:val="none"/>
                <w14:textFill>
                  <w14:solidFill>
                    <w14:schemeClr w14:val="tx1"/>
                  </w14:solidFill>
                </w14:textFill>
              </w:rPr>
              <w:t xml:space="preserve">名称 </w:t>
            </w:r>
          </w:p>
        </w:tc>
        <w:tc>
          <w:tcPr>
            <w:tcW w:w="6326" w:type="dxa"/>
            <w:noWrap w:val="0"/>
            <w:tcMar>
              <w:top w:w="0" w:type="dxa"/>
              <w:left w:w="0" w:type="dxa"/>
              <w:bottom w:w="0" w:type="dxa"/>
              <w:right w:w="0" w:type="dxa"/>
            </w:tcMar>
            <w:vAlign w:val="center"/>
          </w:tcPr>
          <w:p w14:paraId="1A234D20">
            <w:pPr>
              <w:pStyle w:val="653"/>
              <w:shd w:val="clear"/>
              <w:jc w:val="left"/>
              <w:outlineLvl w:val="9"/>
              <w:rPr>
                <w:rStyle w:val="652"/>
                <w:rFonts w:hint="default" w:ascii="宋体" w:hAnsi="宋体" w:eastAsia="宋体" w:cs="宋体"/>
                <w:b w:val="0"/>
                <w:bCs w:val="0"/>
                <w:i w:val="0"/>
                <w:iCs w:val="0"/>
                <w:smallCaps w:val="0"/>
                <w:color w:val="000000" w:themeColor="text1"/>
                <w:sz w:val="24"/>
                <w:szCs w:val="24"/>
                <w:highlight w:val="none"/>
                <w:lang w:val="en-US"/>
                <w14:textFill>
                  <w14:solidFill>
                    <w14:schemeClr w14:val="tx1"/>
                  </w14:solidFill>
                </w14:textFill>
              </w:rPr>
            </w:pPr>
            <w:r>
              <w:rPr>
                <w:rStyle w:val="652"/>
                <w:rFonts w:hint="eastAsia" w:ascii="宋体" w:hAnsi="宋体" w:eastAsia="宋体" w:cs="宋体"/>
                <w:b w:val="0"/>
                <w:bCs w:val="0"/>
                <w:i w:val="0"/>
                <w:iCs w:val="0"/>
                <w:smallCaps w:val="0"/>
                <w:color w:val="000000" w:themeColor="text1"/>
                <w:sz w:val="24"/>
                <w:szCs w:val="24"/>
                <w:highlight w:val="none"/>
                <w:lang w:val="en-US"/>
                <w14:textFill>
                  <w14:solidFill>
                    <w14:schemeClr w14:val="tx1"/>
                  </w14:solidFill>
                </w14:textFill>
              </w:rPr>
              <w:t>投标总报价</w:t>
            </w:r>
          </w:p>
        </w:tc>
      </w:tr>
      <w:tr w14:paraId="644A7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jc w:val="center"/>
        </w:trPr>
        <w:tc>
          <w:tcPr>
            <w:tcW w:w="2835" w:type="dxa"/>
            <w:noWrap w:val="0"/>
            <w:tcMar>
              <w:top w:w="0" w:type="dxa"/>
              <w:left w:w="0" w:type="dxa"/>
              <w:bottom w:w="0" w:type="dxa"/>
              <w:right w:w="0" w:type="dxa"/>
            </w:tcMar>
            <w:vAlign w:val="center"/>
          </w:tcPr>
          <w:p w14:paraId="3F70608C">
            <w:pPr>
              <w:pStyle w:val="653"/>
              <w:keepNext w:val="0"/>
              <w:keepLines w:val="0"/>
              <w:pageBreakBefore w:val="0"/>
              <w:widowControl w:val="0"/>
              <w:shd w:val="clear"/>
              <w:jc w:val="center"/>
              <w:outlineLvl w:val="9"/>
              <w:rPr>
                <w:rStyle w:val="652"/>
                <w:rFonts w:hint="default"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张家港市常阴沙现代农业示范园区2026-2027年度常阴沙镇级绿化养护服务</w:t>
            </w:r>
          </w:p>
        </w:tc>
        <w:tc>
          <w:tcPr>
            <w:tcW w:w="6326" w:type="dxa"/>
            <w:noWrap w:val="0"/>
            <w:tcMar>
              <w:top w:w="0" w:type="dxa"/>
              <w:left w:w="0" w:type="dxa"/>
              <w:bottom w:w="0" w:type="dxa"/>
              <w:right w:w="0" w:type="dxa"/>
            </w:tcMar>
            <w:vAlign w:val="center"/>
          </w:tcPr>
          <w:p w14:paraId="11EC372F">
            <w:pPr>
              <w:pStyle w:val="653"/>
              <w:shd w:val="clear"/>
              <w:jc w:val="left"/>
              <w:outlineLvl w:val="9"/>
              <w:rPr>
                <w:rStyle w:val="652"/>
                <w:rFonts w:hint="default" w:ascii="宋体" w:hAnsi="宋体" w:eastAsia="宋体" w:cs="宋体"/>
                <w:b w:val="0"/>
                <w:bCs w:val="0"/>
                <w:i w:val="0"/>
                <w:iCs w:val="0"/>
                <w:smallCaps w:val="0"/>
                <w:color w:val="000000" w:themeColor="text1"/>
                <w:sz w:val="24"/>
                <w:szCs w:val="24"/>
                <w:highlight w:val="none"/>
                <w:lang w:val="en-US"/>
                <w14:textFill>
                  <w14:solidFill>
                    <w14:schemeClr w14:val="tx1"/>
                  </w14:solidFill>
                </w14:textFill>
              </w:rPr>
            </w:pPr>
            <w:r>
              <w:rPr>
                <w:rStyle w:val="652"/>
                <w:rFonts w:hint="eastAsia" w:ascii="宋体" w:hAnsi="宋体" w:eastAsia="宋体" w:cs="宋体"/>
                <w:b w:val="0"/>
                <w:bCs w:val="0"/>
                <w:i w:val="0"/>
                <w:iCs w:val="0"/>
                <w:smallCaps w:val="0"/>
                <w:color w:val="000000" w:themeColor="text1"/>
                <w:sz w:val="24"/>
                <w:szCs w:val="24"/>
                <w:highlight w:val="none"/>
                <w:lang w:val="en-US"/>
                <w14:textFill>
                  <w14:solidFill>
                    <w14:schemeClr w14:val="tx1"/>
                  </w14:solidFill>
                </w14:textFill>
              </w:rPr>
              <w:t>小写：</w:t>
            </w:r>
            <w:r>
              <w:rPr>
                <w:rStyle w:val="652"/>
                <w:rFonts w:hint="eastAsia" w:ascii="宋体" w:hAnsi="宋体" w:eastAsia="宋体" w:cs="宋体"/>
                <w:b w:val="0"/>
                <w:bCs w:val="0"/>
                <w:i w:val="0"/>
                <w:iCs w:val="0"/>
                <w:smallCaps w:val="0"/>
                <w:color w:val="000000" w:themeColor="text1"/>
                <w:sz w:val="24"/>
                <w:szCs w:val="24"/>
                <w:highlight w:val="none"/>
                <w:u w:val="single"/>
                <w:lang w:val="en-US"/>
                <w14:textFill>
                  <w14:solidFill>
                    <w14:schemeClr w14:val="tx1"/>
                  </w14:solidFill>
                </w14:textFill>
              </w:rPr>
              <w:t xml:space="preserve">             </w:t>
            </w:r>
            <w:r>
              <w:rPr>
                <w:rStyle w:val="652"/>
                <w:rFonts w:hint="eastAsia" w:ascii="宋体" w:hAnsi="宋体" w:eastAsia="宋体" w:cs="宋体"/>
                <w:b w:val="0"/>
                <w:bCs w:val="0"/>
                <w:i w:val="0"/>
                <w:iCs w:val="0"/>
                <w:smallCaps w:val="0"/>
                <w:color w:val="000000" w:themeColor="text1"/>
                <w:sz w:val="24"/>
                <w:szCs w:val="24"/>
                <w:highlight w:val="none"/>
                <w:lang w:val="en-US"/>
                <w14:textFill>
                  <w14:solidFill>
                    <w14:schemeClr w14:val="tx1"/>
                  </w14:solidFill>
                </w14:textFill>
              </w:rPr>
              <w:t>（元人民币）</w:t>
            </w:r>
          </w:p>
        </w:tc>
      </w:tr>
      <w:tr w14:paraId="00A67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2835" w:type="dxa"/>
            <w:noWrap w:val="0"/>
            <w:tcMar>
              <w:top w:w="0" w:type="dxa"/>
              <w:left w:w="0" w:type="dxa"/>
              <w:bottom w:w="0" w:type="dxa"/>
              <w:right w:w="0" w:type="dxa"/>
            </w:tcMar>
            <w:vAlign w:val="center"/>
          </w:tcPr>
          <w:p w14:paraId="379D04C9">
            <w:pPr>
              <w:pStyle w:val="653"/>
              <w:shd w:val="clear"/>
              <w:jc w:val="center"/>
              <w:outlineLvl w:val="9"/>
              <w:rPr>
                <w:rStyle w:val="652"/>
                <w:rFonts w:hint="default" w:ascii="宋体" w:hAnsi="宋体" w:eastAsia="宋体" w:cs="宋体"/>
                <w:b w:val="0"/>
                <w:bCs w:val="0"/>
                <w:i w:val="0"/>
                <w:iCs w:val="0"/>
                <w:smallCaps w:val="0"/>
                <w:color w:val="000000" w:themeColor="text1"/>
                <w:sz w:val="24"/>
                <w:szCs w:val="24"/>
                <w:highlight w:val="none"/>
                <w:lang w:val="en-US"/>
                <w14:textFill>
                  <w14:solidFill>
                    <w14:schemeClr w14:val="tx1"/>
                  </w14:solidFill>
                </w14:textFill>
              </w:rPr>
            </w:pPr>
            <w:r>
              <w:rPr>
                <w:rStyle w:val="652"/>
                <w:rFonts w:ascii="宋体" w:hAnsi="宋体" w:eastAsia="宋体" w:cs="宋体"/>
                <w:b w:val="0"/>
                <w:bCs w:val="0"/>
                <w:i w:val="0"/>
                <w:iCs w:val="0"/>
                <w:smallCaps w:val="0"/>
                <w:color w:val="000000" w:themeColor="text1"/>
                <w:sz w:val="24"/>
                <w:szCs w:val="24"/>
                <w:highlight w:val="none"/>
                <w14:textFill>
                  <w14:solidFill>
                    <w14:schemeClr w14:val="tx1"/>
                  </w14:solidFill>
                </w14:textFill>
              </w:rPr>
              <w:t>投标报价大写</w:t>
            </w:r>
            <w:r>
              <w:rPr>
                <w:rStyle w:val="652"/>
                <w:rFonts w:hint="eastAsia" w:ascii="宋体" w:hAnsi="宋体" w:eastAsia="宋体" w:cs="宋体"/>
                <w:b w:val="0"/>
                <w:bCs w:val="0"/>
                <w:i w:val="0"/>
                <w:iCs w:val="0"/>
                <w:smallCaps w:val="0"/>
                <w:color w:val="000000" w:themeColor="text1"/>
                <w:sz w:val="24"/>
                <w:szCs w:val="24"/>
                <w:highlight w:val="none"/>
                <w:lang w:val="en-US"/>
                <w14:textFill>
                  <w14:solidFill>
                    <w14:schemeClr w14:val="tx1"/>
                  </w14:solidFill>
                </w14:textFill>
              </w:rPr>
              <w:t>金额</w:t>
            </w:r>
          </w:p>
        </w:tc>
        <w:tc>
          <w:tcPr>
            <w:tcW w:w="6326" w:type="dxa"/>
            <w:noWrap w:val="0"/>
            <w:tcMar>
              <w:top w:w="0" w:type="dxa"/>
              <w:left w:w="0" w:type="dxa"/>
              <w:bottom w:w="0" w:type="dxa"/>
              <w:right w:w="0" w:type="dxa"/>
            </w:tcMar>
            <w:vAlign w:val="center"/>
          </w:tcPr>
          <w:p w14:paraId="59170D41">
            <w:pPr>
              <w:pStyle w:val="653"/>
              <w:shd w:val="clear"/>
              <w:outlineLvl w:val="9"/>
              <w:rPr>
                <w:rStyle w:val="652"/>
                <w:rFonts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Style w:val="652"/>
                <w:rFonts w:hint="eastAsia" w:ascii="宋体" w:hAnsi="宋体" w:eastAsia="宋体" w:cs="宋体"/>
                <w:b w:val="0"/>
                <w:bCs w:val="0"/>
                <w:i w:val="0"/>
                <w:iCs w:val="0"/>
                <w:smallCaps w:val="0"/>
                <w:color w:val="000000" w:themeColor="text1"/>
                <w:sz w:val="24"/>
                <w:szCs w:val="24"/>
                <w:highlight w:val="none"/>
                <w:lang w:val="en-US"/>
                <w14:textFill>
                  <w14:solidFill>
                    <w14:schemeClr w14:val="tx1"/>
                  </w14:solidFill>
                </w14:textFill>
              </w:rPr>
              <w:t>金额大写：</w:t>
            </w:r>
            <w:r>
              <w:rPr>
                <w:rStyle w:val="652"/>
                <w:rFonts w:ascii="宋体" w:hAnsi="宋体" w:eastAsia="宋体" w:cs="宋体"/>
                <w:b w:val="0"/>
                <w:bCs w:val="0"/>
                <w:i w:val="0"/>
                <w:iCs w:val="0"/>
                <w:smallCaps w:val="0"/>
                <w:color w:val="000000" w:themeColor="text1"/>
                <w:sz w:val="24"/>
                <w:szCs w:val="24"/>
                <w:highlight w:val="none"/>
                <w14:textFill>
                  <w14:solidFill>
                    <w14:schemeClr w14:val="tx1"/>
                  </w14:solidFill>
                </w14:textFill>
              </w:rPr>
              <w:t>  </w:t>
            </w:r>
          </w:p>
        </w:tc>
      </w:tr>
    </w:tbl>
    <w:p w14:paraId="47E3E89C">
      <w:pPr>
        <w:keepNext w:val="0"/>
        <w:keepLines w:val="0"/>
        <w:pageBreakBefore w:val="0"/>
        <w:widowControl w:val="0"/>
        <w:numPr>
          <w:ilvl w:val="0"/>
          <w:numId w:val="0"/>
        </w:numPr>
        <w:shd w:val="clear"/>
        <w:ind w:right="0"/>
        <w:rPr>
          <w:rFonts w:hint="eastAsia" w:ascii="宋体" w:hAnsi="宋体" w:eastAsia="宋体" w:cs="宋体"/>
          <w:b/>
          <w:bCs w:val="0"/>
          <w:i w:val="0"/>
          <w:iCs w:val="0"/>
          <w:color w:val="000000" w:themeColor="text1"/>
          <w:sz w:val="24"/>
          <w:szCs w:val="24"/>
          <w:highlight w:val="none"/>
          <w:u w:val="none"/>
          <w14:textFill>
            <w14:solidFill>
              <w14:schemeClr w14:val="tx1"/>
            </w14:solidFill>
          </w14:textFill>
        </w:rPr>
      </w:pPr>
    </w:p>
    <w:p w14:paraId="0D87F97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right="0"/>
        <w:jc w:val="right"/>
        <w:textAlignment w:val="auto"/>
        <w:rPr>
          <w:rFonts w:hint="default" w:ascii="宋体" w:hAnsi="宋体" w:eastAsia="宋体" w:cs="宋体"/>
          <w:b/>
          <w:bCs w:val="0"/>
          <w:i w:val="0"/>
          <w:iCs w:val="0"/>
          <w:color w:val="000000" w:themeColor="text1"/>
          <w:sz w:val="24"/>
          <w:szCs w:val="24"/>
          <w:highlight w:val="none"/>
          <w:u w:val="none"/>
          <w:lang w:val="en-US" w:eastAsia="zh-CN" w:bidi="ar-SA"/>
          <w14:textFill>
            <w14:solidFill>
              <w14:schemeClr w14:val="tx1"/>
            </w14:solidFill>
          </w14:textFill>
        </w:rPr>
      </w:pPr>
      <w:r>
        <w:rPr>
          <w:rFonts w:hint="eastAsia" w:ascii="宋体" w:hAnsi="宋体" w:cs="宋体"/>
          <w:b w:val="0"/>
          <w:bCs/>
          <w:i w:val="0"/>
          <w:iCs w:val="0"/>
          <w:color w:val="000000" w:themeColor="text1"/>
          <w:sz w:val="24"/>
          <w:szCs w:val="24"/>
          <w:highlight w:val="none"/>
          <w:u w:val="none"/>
          <w:lang w:val="en-US" w:eastAsia="zh-CN" w:bidi="ar-SA"/>
          <w14:textFill>
            <w14:solidFill>
              <w14:schemeClr w14:val="tx1"/>
            </w14:solidFill>
          </w14:textFill>
        </w:rPr>
        <w:t>日期：    年     月     日</w:t>
      </w:r>
    </w:p>
    <w:p w14:paraId="1075D6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right="0"/>
        <w:textAlignment w:val="auto"/>
        <w:rPr>
          <w:rFonts w:hint="eastAsia" w:ascii="宋体" w:hAnsi="宋体" w:eastAsia="宋体" w:cs="宋体"/>
          <w:b/>
          <w:bCs w:val="0"/>
          <w:i w:val="0"/>
          <w:iCs w:val="0"/>
          <w:color w:val="000000" w:themeColor="text1"/>
          <w:sz w:val="24"/>
          <w:szCs w:val="24"/>
          <w:highlight w:val="none"/>
          <w:u w:val="none"/>
          <w:lang w:val="en-US" w:eastAsia="zh-CN" w:bidi="ar-SA"/>
          <w14:textFill>
            <w14:solidFill>
              <w14:schemeClr w14:val="tx1"/>
            </w14:solidFill>
          </w14:textFill>
        </w:rPr>
      </w:pPr>
    </w:p>
    <w:p w14:paraId="0DBC9A2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right="0"/>
        <w:textAlignment w:val="auto"/>
        <w:rPr>
          <w:rFonts w:hint="eastAsia" w:ascii="宋体" w:hAnsi="宋体" w:eastAsia="宋体" w:cs="宋体"/>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val="0"/>
          <w:i w:val="0"/>
          <w:iCs w:val="0"/>
          <w:color w:val="000000" w:themeColor="text1"/>
          <w:sz w:val="24"/>
          <w:szCs w:val="24"/>
          <w:highlight w:val="none"/>
          <w:u w:val="none"/>
          <w:lang w:val="en-US" w:eastAsia="zh-CN" w:bidi="ar-SA"/>
          <w14:textFill>
            <w14:solidFill>
              <w14:schemeClr w14:val="tx1"/>
            </w14:solidFill>
          </w14:textFill>
        </w:rPr>
        <w:t>注</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p>
    <w:p w14:paraId="0D459EE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此表在苏采云系统“开标一览表（总报价）”直接填报。</w:t>
      </w:r>
    </w:p>
    <w:p w14:paraId="36F126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报价包括完成项目的所有</w:t>
      </w:r>
      <w:bookmarkStart w:id="183" w:name="_GoBack"/>
      <w:bookmarkEnd w:id="183"/>
      <w:r>
        <w:rPr>
          <w:rFonts w:hint="eastAsia" w:ascii="宋体" w:hAnsi="宋体" w:eastAsia="宋体" w:cs="宋体"/>
          <w:color w:val="auto"/>
          <w:sz w:val="24"/>
          <w:szCs w:val="24"/>
          <w:highlight w:val="none"/>
          <w:lang w:val="zh-CN"/>
        </w:rPr>
        <w:t>费用。采购人不再支付报价以外的任何费用；</w:t>
      </w:r>
    </w:p>
    <w:p w14:paraId="25422C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报价以总价为准，大小写不一致以大写为准。</w:t>
      </w:r>
    </w:p>
    <w:p w14:paraId="6F51B1C7">
      <w:pPr>
        <w:keepNext w:val="0"/>
        <w:keepLines w:val="0"/>
        <w:pageBreakBefore w:val="0"/>
        <w:widowControl w:val="0"/>
        <w:numPr>
          <w:ilvl w:val="0"/>
          <w:numId w:val="0"/>
        </w:numPr>
        <w:shd w:val="clear"/>
        <w:spacing w:line="360" w:lineRule="auto"/>
        <w:ind w:right="0" w:firstLine="480"/>
        <w:rPr>
          <w:rFonts w:hint="eastAsia" w:ascii="宋体" w:hAnsi="宋体" w:eastAsia="宋体" w:cs="宋体"/>
          <w:b/>
          <w:color w:val="000000" w:themeColor="text1"/>
          <w:sz w:val="24"/>
          <w:highlight w:val="none"/>
          <w14:textFill>
            <w14:solidFill>
              <w14:schemeClr w14:val="tx1"/>
            </w14:solidFill>
          </w14:textFill>
        </w:rPr>
      </w:pPr>
    </w:p>
    <w:p w14:paraId="0B2CC18A">
      <w:pPr>
        <w:keepNext w:val="0"/>
        <w:keepLines w:val="0"/>
        <w:pageBreakBefore w:val="0"/>
        <w:widowControl w:val="0"/>
        <w:shd w:val="clear"/>
        <w:spacing w:line="360"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435D43D5">
      <w:pPr>
        <w:numPr>
          <w:ilvl w:val="0"/>
          <w:numId w:val="0"/>
        </w:numPr>
        <w:shd w:val="clear"/>
        <w:spacing w:line="360" w:lineRule="auto"/>
        <w:jc w:val="center"/>
        <w:rPr>
          <w:rFonts w:hint="eastAsia"/>
          <w:b/>
          <w:bCs/>
          <w:color w:val="auto"/>
          <w:sz w:val="32"/>
          <w:szCs w:val="36"/>
          <w:highlight w:val="none"/>
        </w:rPr>
      </w:pPr>
      <w:bookmarkStart w:id="177" w:name="_Hlk43497901"/>
      <w:bookmarkStart w:id="178" w:name="_Toc10887"/>
      <w:bookmarkStart w:id="179" w:name="_Toc27146"/>
      <w:r>
        <w:rPr>
          <w:rFonts w:hint="eastAsia"/>
          <w:b/>
          <w:bCs/>
          <w:color w:val="auto"/>
          <w:sz w:val="32"/>
          <w:szCs w:val="36"/>
          <w:highlight w:val="none"/>
          <w:lang w:val="en-US" w:eastAsia="zh-CN"/>
        </w:rPr>
        <w:t>十、</w:t>
      </w:r>
      <w:r>
        <w:rPr>
          <w:rFonts w:hint="eastAsia"/>
          <w:b/>
          <w:bCs/>
          <w:color w:val="auto"/>
          <w:sz w:val="32"/>
          <w:szCs w:val="36"/>
          <w:highlight w:val="none"/>
        </w:rPr>
        <w:t>分项报价表</w:t>
      </w:r>
      <w:bookmarkEnd w:id="177"/>
      <w:bookmarkEnd w:id="178"/>
      <w:bookmarkEnd w:id="179"/>
    </w:p>
    <w:tbl>
      <w:tblPr>
        <w:tblStyle w:val="640"/>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5"/>
        <w:gridCol w:w="2225"/>
        <w:gridCol w:w="964"/>
        <w:gridCol w:w="1065"/>
        <w:gridCol w:w="1480"/>
        <w:gridCol w:w="1470"/>
        <w:gridCol w:w="2098"/>
      </w:tblGrid>
      <w:tr w14:paraId="7B04B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6916A573">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序号</w:t>
            </w:r>
          </w:p>
        </w:tc>
        <w:tc>
          <w:tcPr>
            <w:tcW w:w="2225" w:type="dxa"/>
            <w:vAlign w:val="center"/>
          </w:tcPr>
          <w:p w14:paraId="18A6E70E">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绿地</w:t>
            </w:r>
            <w:r>
              <w:rPr>
                <w:rFonts w:hint="eastAsia" w:ascii="宋体" w:hAnsi="宋体" w:eastAsia="宋体" w:cs="宋体"/>
                <w:color w:val="auto"/>
                <w:spacing w:val="-3"/>
                <w:sz w:val="21"/>
                <w:szCs w:val="21"/>
                <w:highlight w:val="none"/>
                <w:lang w:val="en-US" w:eastAsia="zh-CN"/>
              </w:rPr>
              <w:t>名</w:t>
            </w:r>
            <w:r>
              <w:rPr>
                <w:rFonts w:hint="eastAsia" w:ascii="宋体" w:hAnsi="宋体" w:eastAsia="宋体" w:cs="宋体"/>
                <w:color w:val="auto"/>
                <w:spacing w:val="-3"/>
                <w:sz w:val="21"/>
                <w:szCs w:val="21"/>
                <w:highlight w:val="none"/>
              </w:rPr>
              <w:t>称</w:t>
            </w:r>
          </w:p>
        </w:tc>
        <w:tc>
          <w:tcPr>
            <w:tcW w:w="964" w:type="dxa"/>
            <w:vAlign w:val="center"/>
          </w:tcPr>
          <w:p w14:paraId="5C428373">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单位</w:t>
            </w:r>
          </w:p>
        </w:tc>
        <w:tc>
          <w:tcPr>
            <w:tcW w:w="1065" w:type="dxa"/>
            <w:vAlign w:val="center"/>
          </w:tcPr>
          <w:p w14:paraId="2383A05B">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数量</w:t>
            </w:r>
          </w:p>
        </w:tc>
        <w:tc>
          <w:tcPr>
            <w:tcW w:w="1480" w:type="dxa"/>
            <w:vAlign w:val="center"/>
          </w:tcPr>
          <w:p w14:paraId="04C1728C">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分项单价</w:t>
            </w:r>
          </w:p>
          <w:p w14:paraId="0277B10F">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w:t>
            </w:r>
            <w:r>
              <w:rPr>
                <w:rFonts w:hint="eastAsia" w:ascii="宋体" w:hAnsi="宋体" w:eastAsia="宋体" w:cs="宋体"/>
                <w:bCs/>
                <w:color w:val="auto"/>
                <w:sz w:val="21"/>
                <w:szCs w:val="21"/>
                <w:highlight w:val="none"/>
                <w:lang w:val="en-US" w:eastAsia="zh-CN"/>
              </w:rPr>
              <w:t>元/㎡.年）</w:t>
            </w:r>
          </w:p>
        </w:tc>
        <w:tc>
          <w:tcPr>
            <w:tcW w:w="1470" w:type="dxa"/>
            <w:vAlign w:val="center"/>
          </w:tcPr>
          <w:p w14:paraId="415314E7">
            <w:pPr>
              <w:spacing w:before="5"/>
              <w:jc w:val="center"/>
              <w:rPr>
                <w:rFonts w:hint="default"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rPr>
              <w:t>分项</w:t>
            </w:r>
            <w:r>
              <w:rPr>
                <w:rFonts w:hint="eastAsia" w:ascii="宋体" w:hAnsi="宋体" w:cs="Times New Roman"/>
                <w:bCs/>
                <w:color w:val="auto"/>
                <w:sz w:val="21"/>
                <w:szCs w:val="21"/>
                <w:highlight w:val="none"/>
                <w:lang w:val="en-US" w:eastAsia="zh-CN"/>
              </w:rPr>
              <w:t>小计</w:t>
            </w:r>
          </w:p>
          <w:p w14:paraId="6504EC43">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lang w:val="en-US" w:eastAsia="zh-CN"/>
              </w:rPr>
            </w:pPr>
            <w:r>
              <w:rPr>
                <w:rFonts w:hint="eastAsia" w:ascii="宋体" w:hAnsi="宋体" w:eastAsia="宋体" w:cs="Times New Roman"/>
                <w:bCs/>
                <w:color w:val="auto"/>
                <w:sz w:val="21"/>
                <w:szCs w:val="21"/>
                <w:highlight w:val="none"/>
                <w:lang w:val="en-US" w:eastAsia="zh-CN"/>
              </w:rPr>
              <w:t>（元/年）</w:t>
            </w:r>
          </w:p>
        </w:tc>
        <w:tc>
          <w:tcPr>
            <w:tcW w:w="2098" w:type="dxa"/>
            <w:vAlign w:val="center"/>
          </w:tcPr>
          <w:p w14:paraId="76A437D8">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备注</w:t>
            </w:r>
          </w:p>
        </w:tc>
      </w:tr>
      <w:tr w14:paraId="18A5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10E28652">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1</w:t>
            </w:r>
          </w:p>
        </w:tc>
        <w:tc>
          <w:tcPr>
            <w:tcW w:w="2225" w:type="dxa"/>
            <w:vAlign w:val="center"/>
          </w:tcPr>
          <w:p w14:paraId="726FD4BD">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工业区成片林</w:t>
            </w:r>
          </w:p>
        </w:tc>
        <w:tc>
          <w:tcPr>
            <w:tcW w:w="964" w:type="dxa"/>
            <w:vAlign w:val="center"/>
          </w:tcPr>
          <w:p w14:paraId="60CAED8F">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6D0C3CCD">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19143</w:t>
            </w:r>
          </w:p>
        </w:tc>
        <w:tc>
          <w:tcPr>
            <w:tcW w:w="1480" w:type="dxa"/>
            <w:vAlign w:val="center"/>
          </w:tcPr>
          <w:p w14:paraId="79E04D9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470" w:type="dxa"/>
            <w:vAlign w:val="center"/>
          </w:tcPr>
          <w:p w14:paraId="78B983E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2098" w:type="dxa"/>
            <w:vAlign w:val="center"/>
          </w:tcPr>
          <w:p w14:paraId="5897675A">
            <w:pPr>
              <w:jc w:val="center"/>
              <w:rPr>
                <w:rFonts w:hint="eastAsia" w:ascii="宋体" w:hAnsi="宋体" w:eastAsia="宋体" w:cs="宋体"/>
                <w:i w:val="0"/>
                <w:iCs w:val="0"/>
                <w:color w:val="auto"/>
                <w:kern w:val="0"/>
                <w:sz w:val="21"/>
                <w:szCs w:val="21"/>
                <w:highlight w:val="none"/>
                <w:u w:val="none"/>
                <w:lang w:val="en-US" w:eastAsia="zh-CN" w:bidi="ar"/>
              </w:rPr>
            </w:pPr>
          </w:p>
        </w:tc>
      </w:tr>
      <w:tr w14:paraId="203E2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Merge w:val="restart"/>
            <w:vAlign w:val="center"/>
          </w:tcPr>
          <w:p w14:paraId="14941C23">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w:t>
            </w:r>
          </w:p>
        </w:tc>
        <w:tc>
          <w:tcPr>
            <w:tcW w:w="2225" w:type="dxa"/>
            <w:vMerge w:val="restart"/>
            <w:vAlign w:val="center"/>
          </w:tcPr>
          <w:p w14:paraId="6D6C2B6B">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管理区大院</w:t>
            </w:r>
          </w:p>
        </w:tc>
        <w:tc>
          <w:tcPr>
            <w:tcW w:w="964" w:type="dxa"/>
            <w:vAlign w:val="center"/>
          </w:tcPr>
          <w:p w14:paraId="4A1CC394">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35C5D622">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5200</w:t>
            </w:r>
          </w:p>
        </w:tc>
        <w:tc>
          <w:tcPr>
            <w:tcW w:w="1480" w:type="dxa"/>
            <w:vAlign w:val="center"/>
          </w:tcPr>
          <w:p w14:paraId="34ACAA63">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p>
        </w:tc>
        <w:tc>
          <w:tcPr>
            <w:tcW w:w="1470" w:type="dxa"/>
            <w:vAlign w:val="center"/>
          </w:tcPr>
          <w:p w14:paraId="4E0F5827">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p>
        </w:tc>
        <w:tc>
          <w:tcPr>
            <w:tcW w:w="2098" w:type="dxa"/>
            <w:vAlign w:val="center"/>
          </w:tcPr>
          <w:p w14:paraId="55D06345">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p>
        </w:tc>
      </w:tr>
      <w:tr w14:paraId="482F9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Merge w:val="continue"/>
            <w:vAlign w:val="center"/>
          </w:tcPr>
          <w:p w14:paraId="4FD77A4F">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yellow"/>
                <w:lang w:val="en-US" w:eastAsia="zh-CN"/>
              </w:rPr>
            </w:pPr>
          </w:p>
        </w:tc>
        <w:tc>
          <w:tcPr>
            <w:tcW w:w="2225" w:type="dxa"/>
            <w:vMerge w:val="continue"/>
            <w:vAlign w:val="center"/>
          </w:tcPr>
          <w:p w14:paraId="7CFF53B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yellow"/>
                <w:u w:val="none"/>
                <w:lang w:val="en-US" w:eastAsia="zh-CN" w:bidi="ar"/>
              </w:rPr>
            </w:pPr>
          </w:p>
        </w:tc>
        <w:tc>
          <w:tcPr>
            <w:tcW w:w="964" w:type="dxa"/>
            <w:vAlign w:val="center"/>
          </w:tcPr>
          <w:p w14:paraId="19713945">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cs="宋体"/>
                <w:color w:val="auto"/>
                <w:spacing w:val="-3"/>
                <w:sz w:val="21"/>
                <w:szCs w:val="21"/>
                <w:highlight w:val="none"/>
                <w:lang w:val="en-US" w:eastAsia="zh-CN"/>
              </w:rPr>
              <w:t>项</w:t>
            </w:r>
          </w:p>
        </w:tc>
        <w:tc>
          <w:tcPr>
            <w:tcW w:w="1065" w:type="dxa"/>
            <w:vAlign w:val="center"/>
          </w:tcPr>
          <w:p w14:paraId="78B70F34">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1480" w:type="dxa"/>
            <w:vAlign w:val="center"/>
          </w:tcPr>
          <w:p w14:paraId="359E575D">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w:t>
            </w:r>
          </w:p>
        </w:tc>
        <w:tc>
          <w:tcPr>
            <w:tcW w:w="1470" w:type="dxa"/>
            <w:vAlign w:val="center"/>
          </w:tcPr>
          <w:p w14:paraId="0B93856E">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10000</w:t>
            </w:r>
          </w:p>
        </w:tc>
        <w:tc>
          <w:tcPr>
            <w:tcW w:w="2098" w:type="dxa"/>
            <w:vAlign w:val="center"/>
          </w:tcPr>
          <w:p w14:paraId="5631F24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绿化氛围布置，</w:t>
            </w:r>
            <w:r>
              <w:rPr>
                <w:rFonts w:hint="eastAsia" w:ascii="宋体" w:hAnsi="宋体" w:eastAsia="宋体" w:cs="宋体"/>
                <w:i w:val="0"/>
                <w:iCs w:val="0"/>
                <w:color w:val="auto"/>
                <w:kern w:val="0"/>
                <w:sz w:val="21"/>
                <w:szCs w:val="21"/>
                <w:highlight w:val="none"/>
                <w:u w:val="none"/>
                <w:lang w:val="en-US" w:eastAsia="zh-CN" w:bidi="ar"/>
              </w:rPr>
              <w:t>暂估不可竞争</w:t>
            </w:r>
          </w:p>
        </w:tc>
      </w:tr>
      <w:tr w14:paraId="1A9AE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3CD91C90">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3</w:t>
            </w:r>
          </w:p>
        </w:tc>
        <w:tc>
          <w:tcPr>
            <w:tcW w:w="2225" w:type="dxa"/>
            <w:vAlign w:val="center"/>
          </w:tcPr>
          <w:p w14:paraId="13E11697">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街心公园</w:t>
            </w:r>
          </w:p>
        </w:tc>
        <w:tc>
          <w:tcPr>
            <w:tcW w:w="964" w:type="dxa"/>
            <w:vAlign w:val="center"/>
          </w:tcPr>
          <w:p w14:paraId="787EEA73">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26140CC0">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8004</w:t>
            </w:r>
          </w:p>
        </w:tc>
        <w:tc>
          <w:tcPr>
            <w:tcW w:w="1480" w:type="dxa"/>
            <w:vAlign w:val="center"/>
          </w:tcPr>
          <w:p w14:paraId="1B0C1E2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470" w:type="dxa"/>
            <w:vAlign w:val="center"/>
          </w:tcPr>
          <w:p w14:paraId="3357D6F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2098" w:type="dxa"/>
            <w:vAlign w:val="center"/>
          </w:tcPr>
          <w:p w14:paraId="49A28132">
            <w:pPr>
              <w:jc w:val="center"/>
              <w:rPr>
                <w:rFonts w:hint="eastAsia" w:ascii="宋体" w:hAnsi="宋体" w:eastAsia="宋体" w:cs="宋体"/>
                <w:i w:val="0"/>
                <w:iCs w:val="0"/>
                <w:color w:val="auto"/>
                <w:kern w:val="0"/>
                <w:sz w:val="21"/>
                <w:szCs w:val="21"/>
                <w:highlight w:val="none"/>
                <w:u w:val="none"/>
                <w:lang w:val="en-US" w:eastAsia="zh-CN" w:bidi="ar"/>
              </w:rPr>
            </w:pPr>
          </w:p>
        </w:tc>
      </w:tr>
      <w:tr w14:paraId="7371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38701EE3">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4</w:t>
            </w:r>
          </w:p>
        </w:tc>
        <w:tc>
          <w:tcPr>
            <w:tcW w:w="2225" w:type="dxa"/>
            <w:vAlign w:val="center"/>
          </w:tcPr>
          <w:p w14:paraId="28291FBD">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健康小区</w:t>
            </w:r>
          </w:p>
        </w:tc>
        <w:tc>
          <w:tcPr>
            <w:tcW w:w="964" w:type="dxa"/>
            <w:vAlign w:val="center"/>
          </w:tcPr>
          <w:p w14:paraId="2C044198">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338A08DC">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2500</w:t>
            </w:r>
          </w:p>
        </w:tc>
        <w:tc>
          <w:tcPr>
            <w:tcW w:w="1480" w:type="dxa"/>
            <w:vAlign w:val="center"/>
          </w:tcPr>
          <w:p w14:paraId="31E5B33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38F53D2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1FF0BFBF">
            <w:pPr>
              <w:jc w:val="center"/>
              <w:rPr>
                <w:rFonts w:hint="eastAsia" w:ascii="宋体" w:hAnsi="宋体" w:eastAsia="宋体" w:cs="宋体"/>
                <w:i w:val="0"/>
                <w:iCs w:val="0"/>
                <w:color w:val="000000"/>
                <w:kern w:val="0"/>
                <w:sz w:val="21"/>
                <w:szCs w:val="21"/>
                <w:highlight w:val="none"/>
                <w:u w:val="none"/>
                <w:lang w:val="en-US" w:eastAsia="zh-CN" w:bidi="ar"/>
              </w:rPr>
            </w:pPr>
          </w:p>
        </w:tc>
      </w:tr>
      <w:tr w14:paraId="6B08A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53189404">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5</w:t>
            </w:r>
          </w:p>
        </w:tc>
        <w:tc>
          <w:tcPr>
            <w:tcW w:w="2225" w:type="dxa"/>
            <w:vAlign w:val="center"/>
          </w:tcPr>
          <w:p w14:paraId="413BEE97">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禾丰佳苑</w:t>
            </w:r>
          </w:p>
        </w:tc>
        <w:tc>
          <w:tcPr>
            <w:tcW w:w="964" w:type="dxa"/>
            <w:vAlign w:val="center"/>
          </w:tcPr>
          <w:p w14:paraId="2E2E637D">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497EAC06">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33292</w:t>
            </w:r>
          </w:p>
        </w:tc>
        <w:tc>
          <w:tcPr>
            <w:tcW w:w="1480" w:type="dxa"/>
            <w:vAlign w:val="center"/>
          </w:tcPr>
          <w:p w14:paraId="0EDBCFF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35E1D18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6BFB2390">
            <w:pPr>
              <w:jc w:val="center"/>
              <w:rPr>
                <w:rFonts w:hint="eastAsia" w:ascii="宋体" w:hAnsi="宋体" w:eastAsia="宋体" w:cs="宋体"/>
                <w:i w:val="0"/>
                <w:iCs w:val="0"/>
                <w:color w:val="000000"/>
                <w:kern w:val="0"/>
                <w:sz w:val="21"/>
                <w:szCs w:val="21"/>
                <w:highlight w:val="none"/>
                <w:u w:val="none"/>
                <w:lang w:val="en-US" w:eastAsia="zh-CN" w:bidi="ar"/>
              </w:rPr>
            </w:pPr>
          </w:p>
        </w:tc>
      </w:tr>
      <w:tr w14:paraId="6917B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4A84C5D5">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6</w:t>
            </w:r>
          </w:p>
        </w:tc>
        <w:tc>
          <w:tcPr>
            <w:tcW w:w="2225" w:type="dxa"/>
            <w:vAlign w:val="center"/>
          </w:tcPr>
          <w:p w14:paraId="37C73EDC">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农业综合服务中心</w:t>
            </w:r>
          </w:p>
        </w:tc>
        <w:tc>
          <w:tcPr>
            <w:tcW w:w="964" w:type="dxa"/>
            <w:vAlign w:val="center"/>
          </w:tcPr>
          <w:p w14:paraId="484C1324">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151BEB18">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5130</w:t>
            </w:r>
          </w:p>
        </w:tc>
        <w:tc>
          <w:tcPr>
            <w:tcW w:w="1480" w:type="dxa"/>
            <w:vAlign w:val="center"/>
          </w:tcPr>
          <w:p w14:paraId="75D50294">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3D3F39C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0A930FC1">
            <w:pPr>
              <w:jc w:val="center"/>
              <w:rPr>
                <w:rFonts w:hint="eastAsia" w:ascii="宋体" w:hAnsi="宋体" w:eastAsia="宋体" w:cs="宋体"/>
                <w:i w:val="0"/>
                <w:iCs w:val="0"/>
                <w:color w:val="000000"/>
                <w:kern w:val="0"/>
                <w:sz w:val="21"/>
                <w:szCs w:val="21"/>
                <w:highlight w:val="none"/>
                <w:u w:val="none"/>
                <w:lang w:val="en-US" w:eastAsia="zh-CN" w:bidi="ar"/>
              </w:rPr>
            </w:pPr>
          </w:p>
        </w:tc>
      </w:tr>
      <w:tr w14:paraId="5ED64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3C774EBC">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7</w:t>
            </w:r>
          </w:p>
        </w:tc>
        <w:tc>
          <w:tcPr>
            <w:tcW w:w="2225" w:type="dxa"/>
            <w:vAlign w:val="center"/>
          </w:tcPr>
          <w:p w14:paraId="200002BF">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迎宾路</w:t>
            </w:r>
          </w:p>
        </w:tc>
        <w:tc>
          <w:tcPr>
            <w:tcW w:w="964" w:type="dxa"/>
            <w:vAlign w:val="center"/>
          </w:tcPr>
          <w:p w14:paraId="245472C8">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28BFE1F2">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12987</w:t>
            </w:r>
          </w:p>
        </w:tc>
        <w:tc>
          <w:tcPr>
            <w:tcW w:w="1480" w:type="dxa"/>
            <w:vAlign w:val="center"/>
          </w:tcPr>
          <w:p w14:paraId="14530C1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62FAA8B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3CC09DB0">
            <w:pPr>
              <w:jc w:val="center"/>
              <w:rPr>
                <w:rFonts w:hint="eastAsia" w:ascii="宋体" w:hAnsi="宋体" w:eastAsia="宋体" w:cs="宋体"/>
                <w:i w:val="0"/>
                <w:iCs w:val="0"/>
                <w:color w:val="000000"/>
                <w:kern w:val="0"/>
                <w:sz w:val="21"/>
                <w:szCs w:val="21"/>
                <w:highlight w:val="none"/>
                <w:u w:val="none"/>
                <w:lang w:val="en-US" w:eastAsia="zh-CN" w:bidi="ar"/>
              </w:rPr>
            </w:pPr>
          </w:p>
        </w:tc>
      </w:tr>
      <w:tr w14:paraId="676F3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3026E9F2">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8</w:t>
            </w:r>
          </w:p>
        </w:tc>
        <w:tc>
          <w:tcPr>
            <w:tcW w:w="2225" w:type="dxa"/>
            <w:vAlign w:val="center"/>
          </w:tcPr>
          <w:p w14:paraId="3D9F79D2">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纵五路两侧与西侧片林</w:t>
            </w:r>
          </w:p>
        </w:tc>
        <w:tc>
          <w:tcPr>
            <w:tcW w:w="964" w:type="dxa"/>
            <w:vAlign w:val="center"/>
          </w:tcPr>
          <w:p w14:paraId="1BA514EC">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173F933F">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15603</w:t>
            </w:r>
          </w:p>
        </w:tc>
        <w:tc>
          <w:tcPr>
            <w:tcW w:w="1480" w:type="dxa"/>
            <w:vAlign w:val="center"/>
          </w:tcPr>
          <w:p w14:paraId="1FE95E1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15D79D0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7411953B">
            <w:pPr>
              <w:jc w:val="center"/>
              <w:rPr>
                <w:rFonts w:hint="eastAsia" w:ascii="宋体" w:hAnsi="宋体" w:eastAsia="宋体" w:cs="宋体"/>
                <w:i w:val="0"/>
                <w:iCs w:val="0"/>
                <w:color w:val="000000"/>
                <w:kern w:val="0"/>
                <w:sz w:val="21"/>
                <w:szCs w:val="21"/>
                <w:highlight w:val="none"/>
                <w:u w:val="none"/>
                <w:lang w:val="en-US" w:eastAsia="zh-CN" w:bidi="ar"/>
              </w:rPr>
            </w:pPr>
          </w:p>
        </w:tc>
      </w:tr>
      <w:tr w14:paraId="1A66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4960343D">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9</w:t>
            </w:r>
          </w:p>
        </w:tc>
        <w:tc>
          <w:tcPr>
            <w:tcW w:w="2225" w:type="dxa"/>
            <w:vAlign w:val="center"/>
          </w:tcPr>
          <w:p w14:paraId="063B6CA5">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永泰路两侧</w:t>
            </w:r>
          </w:p>
        </w:tc>
        <w:tc>
          <w:tcPr>
            <w:tcW w:w="964" w:type="dxa"/>
            <w:vAlign w:val="center"/>
          </w:tcPr>
          <w:p w14:paraId="31D06FA4">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7C663342">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37558</w:t>
            </w:r>
          </w:p>
        </w:tc>
        <w:tc>
          <w:tcPr>
            <w:tcW w:w="1480" w:type="dxa"/>
            <w:vAlign w:val="center"/>
          </w:tcPr>
          <w:p w14:paraId="59DF13B2">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3960692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73AF7B57">
            <w:pPr>
              <w:jc w:val="center"/>
              <w:rPr>
                <w:rFonts w:hint="eastAsia" w:ascii="宋体" w:hAnsi="宋体" w:eastAsia="宋体" w:cs="宋体"/>
                <w:i w:val="0"/>
                <w:iCs w:val="0"/>
                <w:color w:val="000000"/>
                <w:kern w:val="0"/>
                <w:sz w:val="21"/>
                <w:szCs w:val="21"/>
                <w:highlight w:val="none"/>
                <w:u w:val="none"/>
                <w:lang w:val="en-US" w:eastAsia="zh-CN" w:bidi="ar"/>
              </w:rPr>
            </w:pPr>
          </w:p>
        </w:tc>
      </w:tr>
      <w:tr w14:paraId="51088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1298E5CE">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10</w:t>
            </w:r>
          </w:p>
        </w:tc>
        <w:tc>
          <w:tcPr>
            <w:tcW w:w="2225" w:type="dxa"/>
            <w:vAlign w:val="center"/>
          </w:tcPr>
          <w:p w14:paraId="5D4D6726">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永泰路新路两侧</w:t>
            </w:r>
          </w:p>
        </w:tc>
        <w:tc>
          <w:tcPr>
            <w:tcW w:w="964" w:type="dxa"/>
            <w:vAlign w:val="center"/>
          </w:tcPr>
          <w:p w14:paraId="7E578F3D">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701A15F7">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42737</w:t>
            </w:r>
          </w:p>
        </w:tc>
        <w:tc>
          <w:tcPr>
            <w:tcW w:w="1480" w:type="dxa"/>
            <w:vAlign w:val="center"/>
          </w:tcPr>
          <w:p w14:paraId="03EB48C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55CD4BA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2B1CAEE1">
            <w:pPr>
              <w:jc w:val="center"/>
              <w:rPr>
                <w:rFonts w:hint="eastAsia" w:ascii="宋体" w:hAnsi="宋体" w:eastAsia="宋体" w:cs="宋体"/>
                <w:i w:val="0"/>
                <w:iCs w:val="0"/>
                <w:color w:val="000000"/>
                <w:kern w:val="0"/>
                <w:sz w:val="21"/>
                <w:szCs w:val="21"/>
                <w:highlight w:val="none"/>
                <w:u w:val="none"/>
                <w:lang w:val="en-US" w:eastAsia="zh-CN" w:bidi="ar"/>
              </w:rPr>
            </w:pPr>
          </w:p>
        </w:tc>
      </w:tr>
      <w:tr w14:paraId="5784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2749D8A0">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11</w:t>
            </w:r>
          </w:p>
        </w:tc>
        <w:tc>
          <w:tcPr>
            <w:tcW w:w="2225" w:type="dxa"/>
            <w:vAlign w:val="center"/>
          </w:tcPr>
          <w:p w14:paraId="1180C50A">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港丰公路两侧</w:t>
            </w:r>
          </w:p>
        </w:tc>
        <w:tc>
          <w:tcPr>
            <w:tcW w:w="964" w:type="dxa"/>
            <w:vAlign w:val="center"/>
          </w:tcPr>
          <w:p w14:paraId="5ABD2C3E">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436C8697">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6942</w:t>
            </w:r>
          </w:p>
        </w:tc>
        <w:tc>
          <w:tcPr>
            <w:tcW w:w="1480" w:type="dxa"/>
            <w:vAlign w:val="center"/>
          </w:tcPr>
          <w:p w14:paraId="1FB4EF5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0643252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65E9D14F">
            <w:pPr>
              <w:jc w:val="center"/>
              <w:rPr>
                <w:rFonts w:hint="eastAsia" w:ascii="宋体" w:hAnsi="宋体" w:eastAsia="宋体" w:cs="宋体"/>
                <w:i w:val="0"/>
                <w:iCs w:val="0"/>
                <w:color w:val="000000"/>
                <w:kern w:val="0"/>
                <w:sz w:val="21"/>
                <w:szCs w:val="21"/>
                <w:highlight w:val="none"/>
                <w:u w:val="none"/>
                <w:lang w:val="en-US" w:eastAsia="zh-CN" w:bidi="ar"/>
              </w:rPr>
            </w:pPr>
          </w:p>
        </w:tc>
      </w:tr>
      <w:tr w14:paraId="05F2B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743A80B0">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12</w:t>
            </w:r>
          </w:p>
        </w:tc>
        <w:tc>
          <w:tcPr>
            <w:tcW w:w="2225" w:type="dxa"/>
            <w:vAlign w:val="center"/>
          </w:tcPr>
          <w:p w14:paraId="1B754FAE">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人民路两侧</w:t>
            </w:r>
          </w:p>
        </w:tc>
        <w:tc>
          <w:tcPr>
            <w:tcW w:w="964" w:type="dxa"/>
            <w:vAlign w:val="center"/>
          </w:tcPr>
          <w:p w14:paraId="484BB518">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311BB2BF">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10685</w:t>
            </w:r>
          </w:p>
        </w:tc>
        <w:tc>
          <w:tcPr>
            <w:tcW w:w="1480" w:type="dxa"/>
            <w:vAlign w:val="center"/>
          </w:tcPr>
          <w:p w14:paraId="0D1943F0">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4AA8423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53E0289B">
            <w:pPr>
              <w:jc w:val="center"/>
              <w:rPr>
                <w:rFonts w:hint="eastAsia" w:ascii="宋体" w:hAnsi="宋体" w:eastAsia="宋体" w:cs="宋体"/>
                <w:i w:val="0"/>
                <w:iCs w:val="0"/>
                <w:color w:val="000000"/>
                <w:kern w:val="0"/>
                <w:sz w:val="21"/>
                <w:szCs w:val="21"/>
                <w:highlight w:val="none"/>
                <w:u w:val="none"/>
                <w:lang w:val="en-US" w:eastAsia="zh-CN" w:bidi="ar"/>
              </w:rPr>
            </w:pPr>
          </w:p>
        </w:tc>
      </w:tr>
      <w:tr w14:paraId="1754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62D14322">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13</w:t>
            </w:r>
          </w:p>
        </w:tc>
        <w:tc>
          <w:tcPr>
            <w:tcW w:w="2225" w:type="dxa"/>
            <w:vAlign w:val="center"/>
          </w:tcPr>
          <w:p w14:paraId="4B0A1677">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人民路延伸段</w:t>
            </w:r>
          </w:p>
        </w:tc>
        <w:tc>
          <w:tcPr>
            <w:tcW w:w="964" w:type="dxa"/>
            <w:vAlign w:val="center"/>
          </w:tcPr>
          <w:p w14:paraId="410B3D86">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株</w:t>
            </w:r>
          </w:p>
        </w:tc>
        <w:tc>
          <w:tcPr>
            <w:tcW w:w="1065" w:type="dxa"/>
            <w:vAlign w:val="center"/>
          </w:tcPr>
          <w:p w14:paraId="44D4A6A6">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386</w:t>
            </w:r>
          </w:p>
        </w:tc>
        <w:tc>
          <w:tcPr>
            <w:tcW w:w="1480" w:type="dxa"/>
            <w:vAlign w:val="center"/>
          </w:tcPr>
          <w:p w14:paraId="598BDB5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7C4315E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21F4B31A">
            <w:pPr>
              <w:jc w:val="center"/>
              <w:rPr>
                <w:rFonts w:hint="eastAsia" w:ascii="宋体" w:hAnsi="宋体" w:eastAsia="宋体" w:cs="宋体"/>
                <w:i w:val="0"/>
                <w:iCs w:val="0"/>
                <w:color w:val="000000"/>
                <w:kern w:val="0"/>
                <w:sz w:val="21"/>
                <w:szCs w:val="21"/>
                <w:highlight w:val="none"/>
                <w:u w:val="none"/>
                <w:lang w:val="en-US" w:eastAsia="zh-CN" w:bidi="ar"/>
              </w:rPr>
            </w:pPr>
          </w:p>
        </w:tc>
      </w:tr>
      <w:tr w14:paraId="7BD8C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569D3F40">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14</w:t>
            </w:r>
          </w:p>
        </w:tc>
        <w:tc>
          <w:tcPr>
            <w:tcW w:w="2225" w:type="dxa"/>
            <w:vAlign w:val="center"/>
          </w:tcPr>
          <w:p w14:paraId="5AF14DD2">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通运路两侧</w:t>
            </w:r>
          </w:p>
        </w:tc>
        <w:tc>
          <w:tcPr>
            <w:tcW w:w="964" w:type="dxa"/>
            <w:vAlign w:val="center"/>
          </w:tcPr>
          <w:p w14:paraId="61EF0632">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487B898F">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36619</w:t>
            </w:r>
          </w:p>
        </w:tc>
        <w:tc>
          <w:tcPr>
            <w:tcW w:w="1480" w:type="dxa"/>
            <w:vAlign w:val="center"/>
          </w:tcPr>
          <w:p w14:paraId="72B3283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5378784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248CDE82">
            <w:pPr>
              <w:jc w:val="center"/>
              <w:rPr>
                <w:rFonts w:hint="eastAsia" w:ascii="宋体" w:hAnsi="宋体" w:eastAsia="宋体" w:cs="宋体"/>
                <w:i w:val="0"/>
                <w:iCs w:val="0"/>
                <w:color w:val="000000"/>
                <w:kern w:val="0"/>
                <w:sz w:val="21"/>
                <w:szCs w:val="21"/>
                <w:highlight w:val="none"/>
                <w:u w:val="none"/>
                <w:lang w:val="en-US" w:eastAsia="zh-CN" w:bidi="ar"/>
              </w:rPr>
            </w:pPr>
          </w:p>
        </w:tc>
      </w:tr>
      <w:tr w14:paraId="27E35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1C58C4A0">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15</w:t>
            </w:r>
          </w:p>
        </w:tc>
        <w:tc>
          <w:tcPr>
            <w:tcW w:w="2225" w:type="dxa"/>
            <w:vAlign w:val="center"/>
          </w:tcPr>
          <w:p w14:paraId="1DE0CBB2">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沿江公路两侧</w:t>
            </w:r>
          </w:p>
        </w:tc>
        <w:tc>
          <w:tcPr>
            <w:tcW w:w="964" w:type="dxa"/>
            <w:vAlign w:val="center"/>
          </w:tcPr>
          <w:p w14:paraId="3A36B935">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70CBE70C">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225445</w:t>
            </w:r>
          </w:p>
        </w:tc>
        <w:tc>
          <w:tcPr>
            <w:tcW w:w="1480" w:type="dxa"/>
            <w:vAlign w:val="center"/>
          </w:tcPr>
          <w:p w14:paraId="688EEDC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45237FA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1FFF54C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含红旗路至常沙路、常西3D艺术村段草花养护及草籽追播</w:t>
            </w:r>
          </w:p>
        </w:tc>
      </w:tr>
      <w:tr w14:paraId="14DB4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50EDBC8B">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16</w:t>
            </w:r>
          </w:p>
        </w:tc>
        <w:tc>
          <w:tcPr>
            <w:tcW w:w="2225" w:type="dxa"/>
            <w:vAlign w:val="center"/>
          </w:tcPr>
          <w:p w14:paraId="3C0EC907">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通江路两侧</w:t>
            </w:r>
          </w:p>
        </w:tc>
        <w:tc>
          <w:tcPr>
            <w:tcW w:w="964" w:type="dxa"/>
            <w:vAlign w:val="center"/>
          </w:tcPr>
          <w:p w14:paraId="23259B6E">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1A7EEF13">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33307</w:t>
            </w:r>
          </w:p>
        </w:tc>
        <w:tc>
          <w:tcPr>
            <w:tcW w:w="1480" w:type="dxa"/>
            <w:vAlign w:val="center"/>
          </w:tcPr>
          <w:p w14:paraId="4BC3BB33">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471BA1A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476168C9">
            <w:pPr>
              <w:jc w:val="center"/>
              <w:rPr>
                <w:rFonts w:hint="eastAsia" w:ascii="宋体" w:hAnsi="宋体" w:eastAsia="宋体" w:cs="宋体"/>
                <w:i w:val="0"/>
                <w:iCs w:val="0"/>
                <w:color w:val="000000"/>
                <w:kern w:val="0"/>
                <w:sz w:val="21"/>
                <w:szCs w:val="21"/>
                <w:highlight w:val="none"/>
                <w:u w:val="none"/>
                <w:lang w:val="en-US" w:eastAsia="zh-CN" w:bidi="ar"/>
              </w:rPr>
            </w:pPr>
          </w:p>
        </w:tc>
      </w:tr>
      <w:tr w14:paraId="4E6C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6B289FB8">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17</w:t>
            </w:r>
          </w:p>
        </w:tc>
        <w:tc>
          <w:tcPr>
            <w:tcW w:w="2225" w:type="dxa"/>
            <w:vAlign w:val="center"/>
          </w:tcPr>
          <w:p w14:paraId="36654519">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红旗路两侧</w:t>
            </w:r>
          </w:p>
        </w:tc>
        <w:tc>
          <w:tcPr>
            <w:tcW w:w="964" w:type="dxa"/>
            <w:vAlign w:val="center"/>
          </w:tcPr>
          <w:p w14:paraId="663179FF">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31F01225">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30097</w:t>
            </w:r>
          </w:p>
        </w:tc>
        <w:tc>
          <w:tcPr>
            <w:tcW w:w="1480" w:type="dxa"/>
            <w:vAlign w:val="center"/>
          </w:tcPr>
          <w:p w14:paraId="449E412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199D533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74F6025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含节点及小游园绿地，农场河至沿江公路段含河对面养护</w:t>
            </w:r>
          </w:p>
        </w:tc>
      </w:tr>
      <w:tr w14:paraId="19F79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2476D37B">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18</w:t>
            </w:r>
          </w:p>
        </w:tc>
        <w:tc>
          <w:tcPr>
            <w:tcW w:w="2225" w:type="dxa"/>
            <w:vAlign w:val="center"/>
          </w:tcPr>
          <w:p w14:paraId="3CD23755">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红旗中路、乐红路、建业路、鸿业路</w:t>
            </w:r>
          </w:p>
        </w:tc>
        <w:tc>
          <w:tcPr>
            <w:tcW w:w="964" w:type="dxa"/>
            <w:vAlign w:val="center"/>
          </w:tcPr>
          <w:p w14:paraId="5AB9C679">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株</w:t>
            </w:r>
          </w:p>
        </w:tc>
        <w:tc>
          <w:tcPr>
            <w:tcW w:w="1065" w:type="dxa"/>
            <w:vAlign w:val="center"/>
          </w:tcPr>
          <w:p w14:paraId="20590F98">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845</w:t>
            </w:r>
          </w:p>
        </w:tc>
        <w:tc>
          <w:tcPr>
            <w:tcW w:w="1480" w:type="dxa"/>
            <w:vAlign w:val="center"/>
          </w:tcPr>
          <w:p w14:paraId="44565BB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3F9EE1D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3E223BFB">
            <w:pPr>
              <w:jc w:val="center"/>
              <w:rPr>
                <w:rFonts w:hint="eastAsia" w:ascii="宋体" w:hAnsi="宋体" w:eastAsia="宋体" w:cs="宋体"/>
                <w:i w:val="0"/>
                <w:iCs w:val="0"/>
                <w:color w:val="000000"/>
                <w:kern w:val="0"/>
                <w:sz w:val="21"/>
                <w:szCs w:val="21"/>
                <w:highlight w:val="none"/>
                <w:u w:val="none"/>
                <w:lang w:val="en-US" w:eastAsia="zh-CN" w:bidi="ar"/>
              </w:rPr>
            </w:pPr>
          </w:p>
        </w:tc>
      </w:tr>
      <w:tr w14:paraId="76579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7E6DD4A0">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19</w:t>
            </w:r>
          </w:p>
        </w:tc>
        <w:tc>
          <w:tcPr>
            <w:tcW w:w="2225" w:type="dxa"/>
            <w:vAlign w:val="center"/>
          </w:tcPr>
          <w:p w14:paraId="7E054481">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珠江路两侧</w:t>
            </w:r>
          </w:p>
        </w:tc>
        <w:tc>
          <w:tcPr>
            <w:tcW w:w="964" w:type="dxa"/>
            <w:vAlign w:val="center"/>
          </w:tcPr>
          <w:p w14:paraId="30601532">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4EE0F8F6">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39706</w:t>
            </w:r>
          </w:p>
        </w:tc>
        <w:tc>
          <w:tcPr>
            <w:tcW w:w="1480" w:type="dxa"/>
            <w:vAlign w:val="center"/>
          </w:tcPr>
          <w:p w14:paraId="41C3577B">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3E72A5F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15360A79">
            <w:pPr>
              <w:jc w:val="center"/>
              <w:rPr>
                <w:rFonts w:hint="eastAsia" w:ascii="宋体" w:hAnsi="宋体" w:eastAsia="宋体" w:cs="宋体"/>
                <w:i w:val="0"/>
                <w:iCs w:val="0"/>
                <w:color w:val="000000"/>
                <w:kern w:val="0"/>
                <w:sz w:val="21"/>
                <w:szCs w:val="21"/>
                <w:highlight w:val="none"/>
                <w:u w:val="none"/>
                <w:lang w:val="en-US" w:eastAsia="zh-CN" w:bidi="ar"/>
              </w:rPr>
            </w:pPr>
          </w:p>
        </w:tc>
      </w:tr>
      <w:tr w14:paraId="0701C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4D98E72F">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20</w:t>
            </w:r>
          </w:p>
        </w:tc>
        <w:tc>
          <w:tcPr>
            <w:tcW w:w="2225" w:type="dxa"/>
            <w:vAlign w:val="center"/>
          </w:tcPr>
          <w:p w14:paraId="228D4CA4">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滨河路两侧</w:t>
            </w:r>
          </w:p>
        </w:tc>
        <w:tc>
          <w:tcPr>
            <w:tcW w:w="964" w:type="dxa"/>
            <w:vAlign w:val="center"/>
          </w:tcPr>
          <w:p w14:paraId="1A2CCB1A">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109894F4">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3602</w:t>
            </w:r>
          </w:p>
        </w:tc>
        <w:tc>
          <w:tcPr>
            <w:tcW w:w="1480" w:type="dxa"/>
            <w:vAlign w:val="center"/>
          </w:tcPr>
          <w:p w14:paraId="1A19E809">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342568B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4E50D6F4">
            <w:pPr>
              <w:jc w:val="center"/>
              <w:rPr>
                <w:rFonts w:hint="eastAsia" w:ascii="宋体" w:hAnsi="宋体" w:eastAsia="宋体" w:cs="宋体"/>
                <w:i w:val="0"/>
                <w:iCs w:val="0"/>
                <w:color w:val="000000"/>
                <w:kern w:val="0"/>
                <w:sz w:val="21"/>
                <w:szCs w:val="21"/>
                <w:highlight w:val="none"/>
                <w:u w:val="none"/>
                <w:lang w:val="en-US" w:eastAsia="zh-CN" w:bidi="ar"/>
              </w:rPr>
            </w:pPr>
          </w:p>
        </w:tc>
      </w:tr>
      <w:tr w14:paraId="7A289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09D394C6">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21</w:t>
            </w:r>
          </w:p>
        </w:tc>
        <w:tc>
          <w:tcPr>
            <w:tcW w:w="2225" w:type="dxa"/>
            <w:vAlign w:val="center"/>
          </w:tcPr>
          <w:p w14:paraId="1E15654D">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拥军路两侧</w:t>
            </w:r>
          </w:p>
        </w:tc>
        <w:tc>
          <w:tcPr>
            <w:tcW w:w="964" w:type="dxa"/>
            <w:vAlign w:val="center"/>
          </w:tcPr>
          <w:p w14:paraId="43544D65">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5553E0F9">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116428</w:t>
            </w:r>
          </w:p>
        </w:tc>
        <w:tc>
          <w:tcPr>
            <w:tcW w:w="1480" w:type="dxa"/>
            <w:vAlign w:val="center"/>
          </w:tcPr>
          <w:p w14:paraId="0B76CF2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3451442E">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7E3DAD0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含色块、片林、节点等</w:t>
            </w:r>
          </w:p>
        </w:tc>
      </w:tr>
      <w:tr w14:paraId="54600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50B13834">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22</w:t>
            </w:r>
          </w:p>
        </w:tc>
        <w:tc>
          <w:tcPr>
            <w:tcW w:w="2225" w:type="dxa"/>
            <w:vAlign w:val="center"/>
          </w:tcPr>
          <w:p w14:paraId="27092B46">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常沙河、农场河节点</w:t>
            </w:r>
          </w:p>
        </w:tc>
        <w:tc>
          <w:tcPr>
            <w:tcW w:w="964" w:type="dxa"/>
            <w:vAlign w:val="center"/>
          </w:tcPr>
          <w:p w14:paraId="7F6A8989">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04918922">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7424</w:t>
            </w:r>
          </w:p>
        </w:tc>
        <w:tc>
          <w:tcPr>
            <w:tcW w:w="1480" w:type="dxa"/>
            <w:vAlign w:val="center"/>
          </w:tcPr>
          <w:p w14:paraId="41B69DB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7960292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6BE2AE16">
            <w:pPr>
              <w:jc w:val="center"/>
              <w:rPr>
                <w:rFonts w:hint="eastAsia" w:ascii="宋体" w:hAnsi="宋体" w:eastAsia="宋体" w:cs="宋体"/>
                <w:i w:val="0"/>
                <w:iCs w:val="0"/>
                <w:color w:val="000000"/>
                <w:kern w:val="0"/>
                <w:sz w:val="21"/>
                <w:szCs w:val="21"/>
                <w:highlight w:val="none"/>
                <w:u w:val="none"/>
                <w:lang w:val="en-US" w:eastAsia="zh-CN" w:bidi="ar"/>
              </w:rPr>
            </w:pPr>
          </w:p>
        </w:tc>
      </w:tr>
      <w:tr w14:paraId="5F3C3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4BF989F1">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23</w:t>
            </w:r>
          </w:p>
        </w:tc>
        <w:tc>
          <w:tcPr>
            <w:tcW w:w="2225" w:type="dxa"/>
            <w:vAlign w:val="center"/>
          </w:tcPr>
          <w:p w14:paraId="68DB84C5">
            <w:pPr>
              <w:keepNext w:val="0"/>
              <w:keepLines w:val="0"/>
              <w:widowControl/>
              <w:suppressLineNumbers w:val="0"/>
              <w:jc w:val="center"/>
              <w:textAlignment w:val="center"/>
              <w:rPr>
                <w:rFonts w:hint="eastAsia" w:ascii="宋体" w:hAnsi="宋体" w:eastAsia="宋体" w:cs="宋体"/>
                <w:spacing w:val="-4"/>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常青路两侧</w:t>
            </w:r>
          </w:p>
        </w:tc>
        <w:tc>
          <w:tcPr>
            <w:tcW w:w="964" w:type="dxa"/>
            <w:vAlign w:val="center"/>
          </w:tcPr>
          <w:p w14:paraId="4881D263">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平方米</w:t>
            </w:r>
          </w:p>
        </w:tc>
        <w:tc>
          <w:tcPr>
            <w:tcW w:w="1065" w:type="dxa"/>
            <w:vAlign w:val="center"/>
          </w:tcPr>
          <w:p w14:paraId="55EC073B">
            <w:pPr>
              <w:keepNext w:val="0"/>
              <w:keepLines w:val="0"/>
              <w:widowControl/>
              <w:suppressLineNumbers w:val="0"/>
              <w:jc w:val="center"/>
              <w:textAlignment w:val="center"/>
              <w:rPr>
                <w:rFonts w:hint="eastAsia" w:ascii="宋体" w:hAnsi="宋体" w:eastAsia="宋体" w:cs="宋体"/>
                <w:spacing w:val="-3"/>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16042</w:t>
            </w:r>
          </w:p>
        </w:tc>
        <w:tc>
          <w:tcPr>
            <w:tcW w:w="1480" w:type="dxa"/>
            <w:vAlign w:val="center"/>
          </w:tcPr>
          <w:p w14:paraId="413AE58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470" w:type="dxa"/>
            <w:vAlign w:val="center"/>
          </w:tcPr>
          <w:p w14:paraId="43DF06A7">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098" w:type="dxa"/>
            <w:vAlign w:val="center"/>
          </w:tcPr>
          <w:p w14:paraId="60CA1ABC">
            <w:pPr>
              <w:jc w:val="center"/>
              <w:rPr>
                <w:rFonts w:hint="eastAsia" w:ascii="宋体" w:hAnsi="宋体" w:eastAsia="宋体" w:cs="宋体"/>
                <w:i w:val="0"/>
                <w:iCs w:val="0"/>
                <w:color w:val="000000"/>
                <w:kern w:val="0"/>
                <w:sz w:val="21"/>
                <w:szCs w:val="21"/>
                <w:highlight w:val="none"/>
                <w:u w:val="none"/>
                <w:lang w:val="en-US" w:eastAsia="zh-CN" w:bidi="ar"/>
              </w:rPr>
            </w:pPr>
          </w:p>
        </w:tc>
      </w:tr>
      <w:tr w14:paraId="4B60E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Merge w:val="restart"/>
            <w:vAlign w:val="center"/>
          </w:tcPr>
          <w:p w14:paraId="30EC1E01">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24</w:t>
            </w:r>
          </w:p>
        </w:tc>
        <w:tc>
          <w:tcPr>
            <w:tcW w:w="2225" w:type="dxa"/>
            <w:vMerge w:val="restart"/>
            <w:vAlign w:val="center"/>
          </w:tcPr>
          <w:p w14:paraId="171A22CA">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农创园</w:t>
            </w:r>
          </w:p>
        </w:tc>
        <w:tc>
          <w:tcPr>
            <w:tcW w:w="964" w:type="dxa"/>
            <w:vAlign w:val="center"/>
          </w:tcPr>
          <w:p w14:paraId="39CE1C78">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6100F97F">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2000</w:t>
            </w:r>
          </w:p>
        </w:tc>
        <w:tc>
          <w:tcPr>
            <w:tcW w:w="1480" w:type="dxa"/>
            <w:vAlign w:val="center"/>
          </w:tcPr>
          <w:p w14:paraId="4956A5A3">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p>
        </w:tc>
        <w:tc>
          <w:tcPr>
            <w:tcW w:w="1470" w:type="dxa"/>
            <w:vAlign w:val="center"/>
          </w:tcPr>
          <w:p w14:paraId="40201141">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p>
        </w:tc>
        <w:tc>
          <w:tcPr>
            <w:tcW w:w="2098" w:type="dxa"/>
            <w:vAlign w:val="center"/>
          </w:tcPr>
          <w:p w14:paraId="6FC07F8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含二楼绿化养护</w:t>
            </w:r>
          </w:p>
        </w:tc>
      </w:tr>
      <w:tr w14:paraId="5DF7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Merge w:val="continue"/>
            <w:vAlign w:val="center"/>
          </w:tcPr>
          <w:p w14:paraId="7D981482">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lang w:val="en-US" w:eastAsia="zh-CN"/>
              </w:rPr>
            </w:pPr>
          </w:p>
        </w:tc>
        <w:tc>
          <w:tcPr>
            <w:tcW w:w="2225" w:type="dxa"/>
            <w:vMerge w:val="continue"/>
            <w:vAlign w:val="center"/>
          </w:tcPr>
          <w:p w14:paraId="3858BD4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964" w:type="dxa"/>
            <w:vAlign w:val="center"/>
          </w:tcPr>
          <w:p w14:paraId="1AA664E9">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cs="宋体"/>
                <w:color w:val="auto"/>
                <w:spacing w:val="-3"/>
                <w:sz w:val="21"/>
                <w:szCs w:val="21"/>
                <w:highlight w:val="none"/>
                <w:lang w:val="en-US" w:eastAsia="zh-CN"/>
              </w:rPr>
              <w:t>项</w:t>
            </w:r>
          </w:p>
        </w:tc>
        <w:tc>
          <w:tcPr>
            <w:tcW w:w="1065" w:type="dxa"/>
            <w:vAlign w:val="center"/>
          </w:tcPr>
          <w:p w14:paraId="7A440CC8">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1480" w:type="dxa"/>
            <w:vAlign w:val="center"/>
          </w:tcPr>
          <w:p w14:paraId="2DEF99B7">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w:t>
            </w:r>
          </w:p>
        </w:tc>
        <w:tc>
          <w:tcPr>
            <w:tcW w:w="1470" w:type="dxa"/>
            <w:vAlign w:val="center"/>
          </w:tcPr>
          <w:p w14:paraId="45BFDBA2">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5000</w:t>
            </w:r>
          </w:p>
        </w:tc>
        <w:tc>
          <w:tcPr>
            <w:tcW w:w="2098" w:type="dxa"/>
            <w:vAlign w:val="center"/>
          </w:tcPr>
          <w:p w14:paraId="3D1CA80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绿化氛围布置，</w:t>
            </w:r>
            <w:r>
              <w:rPr>
                <w:rFonts w:hint="eastAsia" w:ascii="宋体" w:hAnsi="宋体" w:eastAsia="宋体" w:cs="宋体"/>
                <w:i w:val="0"/>
                <w:iCs w:val="0"/>
                <w:color w:val="auto"/>
                <w:kern w:val="0"/>
                <w:sz w:val="21"/>
                <w:szCs w:val="21"/>
                <w:highlight w:val="none"/>
                <w:u w:val="none"/>
                <w:lang w:val="en-US" w:eastAsia="zh-CN" w:bidi="ar"/>
              </w:rPr>
              <w:t>暂估不可竞争</w:t>
            </w:r>
          </w:p>
        </w:tc>
      </w:tr>
      <w:tr w14:paraId="722F1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5576D22E">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25</w:t>
            </w:r>
          </w:p>
        </w:tc>
        <w:tc>
          <w:tcPr>
            <w:tcW w:w="2225" w:type="dxa"/>
            <w:vAlign w:val="center"/>
          </w:tcPr>
          <w:p w14:paraId="467F32A8">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客运中心</w:t>
            </w:r>
          </w:p>
        </w:tc>
        <w:tc>
          <w:tcPr>
            <w:tcW w:w="964" w:type="dxa"/>
            <w:vAlign w:val="center"/>
          </w:tcPr>
          <w:p w14:paraId="63CD7F98">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7D7CB287">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7000</w:t>
            </w:r>
          </w:p>
        </w:tc>
        <w:tc>
          <w:tcPr>
            <w:tcW w:w="1480" w:type="dxa"/>
            <w:vAlign w:val="center"/>
          </w:tcPr>
          <w:p w14:paraId="5042673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470" w:type="dxa"/>
            <w:vAlign w:val="center"/>
          </w:tcPr>
          <w:p w14:paraId="4B90B2F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2098" w:type="dxa"/>
            <w:vAlign w:val="center"/>
          </w:tcPr>
          <w:p w14:paraId="5B0CB11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356A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72EA055D">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26</w:t>
            </w:r>
          </w:p>
        </w:tc>
        <w:tc>
          <w:tcPr>
            <w:tcW w:w="2225" w:type="dxa"/>
            <w:vAlign w:val="center"/>
          </w:tcPr>
          <w:p w14:paraId="77CB2018">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澳洋百花园</w:t>
            </w:r>
          </w:p>
        </w:tc>
        <w:tc>
          <w:tcPr>
            <w:tcW w:w="964" w:type="dxa"/>
            <w:vAlign w:val="center"/>
          </w:tcPr>
          <w:p w14:paraId="517BA0EB">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65695B0B">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232000</w:t>
            </w:r>
          </w:p>
        </w:tc>
        <w:tc>
          <w:tcPr>
            <w:tcW w:w="1480" w:type="dxa"/>
            <w:vAlign w:val="center"/>
          </w:tcPr>
          <w:p w14:paraId="3BA627E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470" w:type="dxa"/>
            <w:vAlign w:val="center"/>
          </w:tcPr>
          <w:p w14:paraId="15DFDD1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2098" w:type="dxa"/>
            <w:vAlign w:val="center"/>
          </w:tcPr>
          <w:p w14:paraId="283CA46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AC1F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5306586E">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27</w:t>
            </w:r>
          </w:p>
        </w:tc>
        <w:tc>
          <w:tcPr>
            <w:tcW w:w="2225" w:type="dxa"/>
            <w:vAlign w:val="center"/>
          </w:tcPr>
          <w:p w14:paraId="40DF4DF5">
            <w:pPr>
              <w:keepNext w:val="0"/>
              <w:keepLines w:val="0"/>
              <w:widowControl/>
              <w:suppressLineNumbers w:val="0"/>
              <w:jc w:val="center"/>
              <w:textAlignment w:val="center"/>
              <w:rPr>
                <w:rFonts w:hint="eastAsia" w:ascii="宋体" w:hAnsi="宋体" w:eastAsia="宋体" w:cs="宋体"/>
                <w:color w:val="auto"/>
                <w:spacing w:val="-4"/>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七干河边常沙苗圃</w:t>
            </w:r>
          </w:p>
        </w:tc>
        <w:tc>
          <w:tcPr>
            <w:tcW w:w="964" w:type="dxa"/>
            <w:vAlign w:val="center"/>
          </w:tcPr>
          <w:p w14:paraId="7AC5F14A">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lang w:val="en-US" w:eastAsia="zh-CN"/>
              </w:rPr>
              <w:t>平方米</w:t>
            </w:r>
          </w:p>
        </w:tc>
        <w:tc>
          <w:tcPr>
            <w:tcW w:w="1065" w:type="dxa"/>
            <w:vAlign w:val="center"/>
          </w:tcPr>
          <w:p w14:paraId="33860B71">
            <w:pPr>
              <w:keepNext w:val="0"/>
              <w:keepLines w:val="0"/>
              <w:widowControl/>
              <w:suppressLineNumbers w:val="0"/>
              <w:jc w:val="center"/>
              <w:textAlignment w:val="center"/>
              <w:rPr>
                <w:rFonts w:hint="eastAsia" w:ascii="宋体" w:hAnsi="宋体" w:eastAsia="宋体" w:cs="宋体"/>
                <w:color w:val="auto"/>
                <w:spacing w:val="-3"/>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25503</w:t>
            </w:r>
          </w:p>
        </w:tc>
        <w:tc>
          <w:tcPr>
            <w:tcW w:w="1480" w:type="dxa"/>
            <w:vAlign w:val="center"/>
          </w:tcPr>
          <w:p w14:paraId="0637EB4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470" w:type="dxa"/>
            <w:vAlign w:val="center"/>
          </w:tcPr>
          <w:p w14:paraId="030ED6E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2098" w:type="dxa"/>
            <w:vAlign w:val="center"/>
          </w:tcPr>
          <w:p w14:paraId="63E21C7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A6C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1974F77A">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bCs/>
                <w:color w:val="auto"/>
                <w:spacing w:val="-3"/>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28</w:t>
            </w:r>
          </w:p>
        </w:tc>
        <w:tc>
          <w:tcPr>
            <w:tcW w:w="2225" w:type="dxa"/>
            <w:vAlign w:val="center"/>
          </w:tcPr>
          <w:p w14:paraId="2AC1EF63">
            <w:pPr>
              <w:keepNext w:val="0"/>
              <w:keepLines w:val="0"/>
              <w:widowControl/>
              <w:suppressLineNumbers w:val="0"/>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12个月合计</w:t>
            </w:r>
          </w:p>
        </w:tc>
        <w:tc>
          <w:tcPr>
            <w:tcW w:w="964" w:type="dxa"/>
            <w:vAlign w:val="center"/>
          </w:tcPr>
          <w:p w14:paraId="36E2D659">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bCs/>
                <w:color w:val="auto"/>
                <w:spacing w:val="-3"/>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元</w:t>
            </w:r>
          </w:p>
        </w:tc>
        <w:tc>
          <w:tcPr>
            <w:tcW w:w="6113" w:type="dxa"/>
            <w:gridSpan w:val="4"/>
            <w:vAlign w:val="center"/>
          </w:tcPr>
          <w:p w14:paraId="68A26AB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73133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525" w:type="dxa"/>
            <w:vAlign w:val="center"/>
          </w:tcPr>
          <w:p w14:paraId="4C03D85E">
            <w:pPr>
              <w:pStyle w:val="316"/>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bCs/>
                <w:color w:val="auto"/>
                <w:spacing w:val="-3"/>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29</w:t>
            </w:r>
          </w:p>
        </w:tc>
        <w:tc>
          <w:tcPr>
            <w:tcW w:w="2225" w:type="dxa"/>
            <w:vAlign w:val="center"/>
          </w:tcPr>
          <w:p w14:paraId="409D03D2">
            <w:pPr>
              <w:keepNext w:val="0"/>
              <w:keepLines w:val="0"/>
              <w:widowControl/>
              <w:suppressLineNumbers w:val="0"/>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24个月合计</w:t>
            </w:r>
          </w:p>
        </w:tc>
        <w:tc>
          <w:tcPr>
            <w:tcW w:w="964" w:type="dxa"/>
            <w:vAlign w:val="center"/>
          </w:tcPr>
          <w:p w14:paraId="5C6CDF4F">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bCs/>
                <w:color w:val="auto"/>
                <w:spacing w:val="-3"/>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元</w:t>
            </w:r>
          </w:p>
        </w:tc>
        <w:tc>
          <w:tcPr>
            <w:tcW w:w="6113" w:type="dxa"/>
            <w:gridSpan w:val="4"/>
            <w:vAlign w:val="center"/>
          </w:tcPr>
          <w:p w14:paraId="5A0FF60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5E16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27" w:type="dxa"/>
            <w:gridSpan w:val="7"/>
            <w:vAlign w:val="center"/>
          </w:tcPr>
          <w:p w14:paraId="7733A4F5">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总报价（人民币）大写：</w:t>
            </w:r>
            <w:r>
              <w:rPr>
                <w:rFonts w:hint="eastAsia" w:ascii="宋体" w:hAnsi="宋体" w:eastAsia="宋体" w:cs="宋体"/>
                <w:b/>
                <w:bCs/>
                <w:i w:val="0"/>
                <w:iCs w:val="0"/>
                <w:color w:val="auto"/>
                <w:kern w:val="0"/>
                <w:sz w:val="21"/>
                <w:szCs w:val="21"/>
                <w:highlight w:val="none"/>
                <w:u w:val="single"/>
                <w:lang w:val="en-US" w:eastAsia="zh-CN" w:bidi="ar"/>
              </w:rPr>
              <w:t xml:space="preserve">                          </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1"/>
                <w:szCs w:val="21"/>
                <w:highlight w:val="none"/>
                <w:u w:val="single"/>
                <w:lang w:val="en-US" w:eastAsia="zh-CN" w:bidi="ar"/>
              </w:rPr>
              <w:t xml:space="preserve">        </w:t>
            </w:r>
            <w:r>
              <w:rPr>
                <w:rFonts w:hint="eastAsia" w:ascii="宋体" w:hAnsi="宋体" w:eastAsia="宋体" w:cs="宋体"/>
                <w:b/>
                <w:bCs/>
                <w:i w:val="0"/>
                <w:iCs w:val="0"/>
                <w:color w:val="auto"/>
                <w:kern w:val="0"/>
                <w:sz w:val="21"/>
                <w:szCs w:val="21"/>
                <w:highlight w:val="none"/>
                <w:u w:val="none"/>
                <w:lang w:val="en-US" w:eastAsia="zh-CN" w:bidi="ar"/>
              </w:rPr>
              <w:t>元）</w:t>
            </w:r>
          </w:p>
        </w:tc>
      </w:tr>
    </w:tbl>
    <w:p w14:paraId="2907FBF3">
      <w:pPr>
        <w:shd w:val="clear"/>
        <w:spacing w:line="360" w:lineRule="auto"/>
        <w:rPr>
          <w:b/>
          <w:bCs/>
          <w:color w:val="auto"/>
          <w:sz w:val="24"/>
          <w:highlight w:val="none"/>
        </w:rPr>
      </w:pPr>
    </w:p>
    <w:p w14:paraId="73C9E7AD">
      <w:pPr>
        <w:shd w:val="clear"/>
        <w:spacing w:line="360" w:lineRule="auto"/>
        <w:ind w:firstLine="482"/>
        <w:rPr>
          <w:rFonts w:hint="eastAsia" w:ascii="宋体" w:hAnsi="宋体" w:eastAsia="宋体" w:cs="宋体"/>
          <w:b w:val="0"/>
          <w:bCs w:val="0"/>
          <w:color w:val="auto"/>
          <w:spacing w:val="-2"/>
          <w:sz w:val="24"/>
          <w:szCs w:val="24"/>
          <w:highlight w:val="none"/>
        </w:rPr>
      </w:pPr>
      <w:r>
        <w:rPr>
          <w:b/>
          <w:bCs/>
          <w:color w:val="auto"/>
          <w:sz w:val="24"/>
          <w:highlight w:val="none"/>
        </w:rPr>
        <w:t>注：</w:t>
      </w:r>
    </w:p>
    <w:p w14:paraId="0EA7FBB1">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74" w:firstLineChars="200"/>
        <w:textAlignment w:val="auto"/>
        <w:rPr>
          <w:rFonts w:hint="eastAsia" w:ascii="宋体" w:hAnsi="宋体" w:eastAsia="宋体" w:cs="宋体"/>
          <w:b/>
          <w:bCs/>
          <w:color w:val="auto"/>
          <w:spacing w:val="-2"/>
          <w:sz w:val="24"/>
          <w:szCs w:val="24"/>
          <w:highlight w:val="none"/>
        </w:rPr>
      </w:pPr>
      <w:r>
        <w:rPr>
          <w:rFonts w:hint="eastAsia" w:ascii="宋体" w:hAnsi="宋体" w:cs="宋体"/>
          <w:b/>
          <w:bCs/>
          <w:color w:val="auto"/>
          <w:spacing w:val="-2"/>
          <w:sz w:val="24"/>
          <w:szCs w:val="24"/>
          <w:highlight w:val="none"/>
          <w:lang w:val="en-US" w:eastAsia="zh-CN"/>
        </w:rPr>
        <w:t>1、</w:t>
      </w:r>
      <w:r>
        <w:rPr>
          <w:rFonts w:hint="eastAsia" w:ascii="宋体" w:hAnsi="宋体" w:eastAsia="宋体" w:cs="宋体"/>
          <w:b/>
          <w:bCs/>
          <w:color w:val="auto"/>
          <w:spacing w:val="-2"/>
          <w:sz w:val="24"/>
          <w:szCs w:val="24"/>
          <w:highlight w:val="none"/>
        </w:rPr>
        <w:t>不可竞争费用在投标报价中为固定值，投标人不得擅自修改，否则可能被认定为无效投标。</w:t>
      </w:r>
    </w:p>
    <w:p w14:paraId="51F22773">
      <w:pPr>
        <w:shd w:val="clear"/>
        <w:spacing w:line="360" w:lineRule="auto"/>
        <w:ind w:firstLine="480" w:firstLineChars="200"/>
        <w:jc w:val="lef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auto"/>
          <w:sz w:val="24"/>
          <w:highlight w:val="none"/>
          <w:lang w:val="en-US" w:eastAsia="zh-CN"/>
        </w:rPr>
        <w:t>2、</w:t>
      </w:r>
      <w:r>
        <w:rPr>
          <w:rFonts w:hint="eastAsia" w:ascii="宋体" w:hAnsi="宋体" w:cs="宋体"/>
          <w:b w:val="0"/>
          <w:bCs w:val="0"/>
          <w:color w:val="auto"/>
          <w:sz w:val="24"/>
          <w:highlight w:val="none"/>
          <w:lang w:eastAsia="zh-CN"/>
        </w:rPr>
        <w:t>投标供应商的报价是为完成本项目服务所涉及到的一切费用。包括但不</w:t>
      </w:r>
      <w:r>
        <w:rPr>
          <w:rFonts w:hint="eastAsia" w:ascii="宋体" w:hAnsi="宋体" w:cs="宋体"/>
          <w:b w:val="0"/>
          <w:bCs w:val="0"/>
          <w:color w:val="auto"/>
          <w:sz w:val="24"/>
          <w:highlight w:val="none"/>
          <w:lang w:val="en-US" w:eastAsia="zh-CN"/>
        </w:rPr>
        <w:t>仅限</w:t>
      </w:r>
      <w:r>
        <w:rPr>
          <w:rFonts w:hint="eastAsia" w:ascii="宋体" w:hAnsi="宋体" w:cs="宋体"/>
          <w:b w:val="0"/>
          <w:bCs w:val="0"/>
          <w:color w:val="000000" w:themeColor="text1"/>
          <w:sz w:val="24"/>
          <w:highlight w:val="none"/>
          <w:lang w:val="en-US" w:eastAsia="zh-CN"/>
          <w14:textFill>
            <w14:solidFill>
              <w14:schemeClr w14:val="tx1"/>
            </w14:solidFill>
          </w14:textFill>
        </w:rPr>
        <w:t>于</w:t>
      </w:r>
      <w:r>
        <w:rPr>
          <w:rFonts w:hint="eastAsia" w:ascii="宋体" w:hAnsi="宋体" w:cs="宋体"/>
          <w:b w:val="0"/>
          <w:bCs w:val="0"/>
          <w:color w:val="000000" w:themeColor="text1"/>
          <w:sz w:val="24"/>
          <w:highlight w:val="none"/>
          <w:lang w:eastAsia="zh-CN"/>
          <w14:textFill>
            <w14:solidFill>
              <w14:schemeClr w14:val="tx1"/>
            </w14:solidFill>
          </w14:textFill>
        </w:rPr>
        <w:t>苗木补缺费用；重要地段草坪追播黑麦草费用，裸露地被、片林下空地籽播花卉、草籽等费用；绿地内正常的苗木搬迁、调整、归并移植费用；部分路段隔离带护栏、养护标识牌、植物铭牌等的维护费用、养护人员购买意外险等保险的费用、养护责任铭牌的费用；所有车辆、机械的购买或登高车租赁费用；各类灾害天气应急抢险涉及的所有费用；其他绿化养护涉及到的相关费用、利润、政策性文件规定及合同包含的所有风险、责任等各项应有费用的支出。</w:t>
      </w:r>
    </w:p>
    <w:p w14:paraId="6AE3ED8C">
      <w:pPr>
        <w:shd w:val="clear"/>
        <w:spacing w:line="360" w:lineRule="auto"/>
        <w:ind w:firstLine="482"/>
        <w:jc w:val="left"/>
        <w:rPr>
          <w:rFonts w:hint="eastAsia" w:ascii="宋体" w:hAnsi="宋体" w:eastAsia="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以上表格中各项可进一步细分，栏数不够可自加，要求按功能模块细分项目及报价；技术要求详见招标文件第四章项目需求；此表的总</w:t>
      </w:r>
      <w:r>
        <w:rPr>
          <w:rFonts w:hint="eastAsia" w:ascii="宋体" w:hAnsi="宋体" w:cs="宋体"/>
          <w:b w:val="0"/>
          <w:bCs w:val="0"/>
          <w:color w:val="000000" w:themeColor="text1"/>
          <w:sz w:val="24"/>
          <w:highlight w:val="none"/>
          <w:lang w:val="en-US" w:eastAsia="zh-CN"/>
          <w14:textFill>
            <w14:solidFill>
              <w14:schemeClr w14:val="tx1"/>
            </w14:solidFill>
          </w14:textFill>
        </w:rPr>
        <w:t>报价</w:t>
      </w:r>
      <w:r>
        <w:rPr>
          <w:rFonts w:hint="eastAsia" w:ascii="宋体" w:hAnsi="宋体" w:eastAsia="宋体" w:cs="宋体"/>
          <w:b w:val="0"/>
          <w:bCs w:val="0"/>
          <w:color w:val="000000" w:themeColor="text1"/>
          <w:sz w:val="24"/>
          <w:highlight w:val="none"/>
          <w14:textFill>
            <w14:solidFill>
              <w14:schemeClr w14:val="tx1"/>
            </w14:solidFill>
          </w14:textFill>
        </w:rPr>
        <w:t>应与开标一览表相符</w:t>
      </w:r>
      <w:r>
        <w:rPr>
          <w:rFonts w:hint="eastAsia" w:ascii="宋体" w:hAnsi="宋体" w:eastAsia="宋体" w:cs="宋体"/>
          <w:b w:val="0"/>
          <w:bCs w:val="0"/>
          <w:color w:val="000000" w:themeColor="text1"/>
          <w:sz w:val="24"/>
          <w:highlight w:val="none"/>
          <w:lang w:eastAsia="zh-CN"/>
          <w14:textFill>
            <w14:solidFill>
              <w14:schemeClr w14:val="tx1"/>
            </w14:solidFill>
          </w14:textFill>
        </w:rPr>
        <w:t>，如有不符，以开标一览表为准。</w:t>
      </w:r>
    </w:p>
    <w:p w14:paraId="461FFF9C">
      <w:pPr>
        <w:shd w:val="clear"/>
        <w:spacing w:line="360" w:lineRule="auto"/>
        <w:ind w:firstLine="482"/>
        <w:jc w:val="left"/>
        <w:rPr>
          <w:rFonts w:hint="eastAsia" w:ascii="黑体" w:hAnsi="黑体" w:eastAsia="黑体" w:cs="黑体"/>
          <w:b/>
          <w:color w:val="000000" w:themeColor="text1"/>
          <w:sz w:val="32"/>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、投标分项单价不得超过</w:t>
      </w:r>
      <w:r>
        <w:rPr>
          <w:rFonts w:hint="eastAsia" w:ascii="宋体" w:hAnsi="宋体" w:cs="宋体"/>
          <w:b/>
          <w:bCs/>
          <w:color w:val="000000" w:themeColor="text1"/>
          <w:sz w:val="24"/>
          <w:szCs w:val="24"/>
          <w:highlight w:val="none"/>
          <w:lang w:val="en-US" w:eastAsia="zh-CN"/>
          <w14:textFill>
            <w14:solidFill>
              <w14:schemeClr w14:val="tx1"/>
            </w14:solidFill>
          </w14:textFill>
        </w:rPr>
        <w:t>本招标文件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第四章项目需求/四、其他部分/（一）</w:t>
      </w:r>
      <w:r>
        <w:rPr>
          <w:rFonts w:hint="eastAsia" w:ascii="宋体" w:hAnsi="宋体" w:eastAsia="宋体" w:cs="宋体"/>
          <w:b/>
          <w:bCs/>
          <w:sz w:val="24"/>
          <w:szCs w:val="24"/>
          <w:highlight w:val="none"/>
        </w:rPr>
        <w:t>各地块单价最高限价清单</w:t>
      </w:r>
      <w:r>
        <w:rPr>
          <w:rFonts w:hint="eastAsia" w:ascii="宋体" w:hAnsi="宋体" w:eastAsia="宋体" w:cs="宋体"/>
          <w:b/>
          <w:bCs/>
          <w:sz w:val="24"/>
          <w:szCs w:val="24"/>
          <w:highlight w:val="none"/>
          <w:lang w:val="en-US" w:eastAsia="zh-CN"/>
        </w:rPr>
        <w:t>内最高限价，否则作无效投标处理。</w:t>
      </w:r>
      <w:r>
        <w:rPr>
          <w:rFonts w:hint="eastAsia" w:ascii="黑体" w:hAnsi="黑体" w:eastAsia="黑体" w:cs="黑体"/>
          <w:b/>
          <w:color w:val="000000" w:themeColor="text1"/>
          <w:sz w:val="32"/>
          <w:highlight w:val="none"/>
          <w:lang w:val="en-US" w:eastAsia="zh-CN"/>
          <w14:textFill>
            <w14:solidFill>
              <w14:schemeClr w14:val="tx1"/>
            </w14:solidFill>
          </w14:textFill>
        </w:rPr>
        <w:br w:type="page" w:clear="all"/>
      </w:r>
    </w:p>
    <w:p w14:paraId="46C9505E">
      <w:pPr>
        <w:pBdr>
          <w:top w:val="none" w:color="000000" w:sz="0" w:space="0"/>
          <w:left w:val="none" w:color="000000" w:sz="0" w:space="0"/>
          <w:bottom w:val="none" w:color="000000" w:sz="0" w:space="0"/>
          <w:right w:val="none" w:color="000000" w:sz="0" w:space="0"/>
        </w:pBdr>
        <w:shd w:val="clear"/>
        <w:spacing w:before="0" w:after="0"/>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十</w:t>
      </w:r>
      <w:r>
        <w:rPr>
          <w:rFonts w:hint="eastAsia" w:ascii="黑体" w:hAnsi="黑体" w:eastAsia="黑体" w:cs="黑体"/>
          <w:b/>
          <w:color w:val="000000" w:themeColor="text1"/>
          <w:sz w:val="32"/>
          <w:highlight w:val="none"/>
          <w:lang w:val="en-US" w:eastAsia="zh-CN"/>
          <w14:textFill>
            <w14:solidFill>
              <w14:schemeClr w14:val="tx1"/>
            </w14:solidFill>
          </w14:textFill>
        </w:rPr>
        <w:t>一</w:t>
      </w:r>
      <w:r>
        <w:rPr>
          <w:rFonts w:ascii="黑体" w:hAnsi="黑体" w:eastAsia="黑体" w:cs="黑体"/>
          <w:b/>
          <w:color w:val="000000" w:themeColor="text1"/>
          <w:sz w:val="32"/>
          <w:highlight w:val="none"/>
          <w14:textFill>
            <w14:solidFill>
              <w14:schemeClr w14:val="tx1"/>
            </w14:solidFill>
          </w14:textFill>
        </w:rPr>
        <w:t>、第四章项目需求中实质性要求响应对照表</w:t>
      </w:r>
    </w:p>
    <w:p w14:paraId="703726B4">
      <w:pPr>
        <w:rPr>
          <w:rFonts w:hint="eastAsia" w:ascii="宋体" w:hAnsi="宋体" w:eastAsia="宋体" w:cs="宋体"/>
          <w:b/>
          <w:bCs/>
          <w:color w:val="auto"/>
          <w:highlight w:val="none"/>
        </w:rPr>
      </w:pPr>
    </w:p>
    <w:p w14:paraId="2ABA77B7">
      <w:pPr>
        <w:rPr>
          <w:rFonts w:ascii="宋体" w:hAnsi="宋体" w:eastAsia="宋体" w:cs="宋体"/>
          <w:b/>
          <w:bCs/>
          <w:color w:val="auto"/>
          <w:highlight w:val="none"/>
        </w:rPr>
      </w:pPr>
      <w:r>
        <w:rPr>
          <w:rFonts w:hint="eastAsia" w:ascii="宋体" w:hAnsi="宋体" w:eastAsia="宋体" w:cs="宋体"/>
          <w:b/>
          <w:bCs/>
          <w:color w:val="auto"/>
          <w:highlight w:val="none"/>
        </w:rPr>
        <w:t>1、商务条款的实质性格式</w:t>
      </w:r>
      <w:r>
        <w:rPr>
          <w:rFonts w:ascii="宋体" w:hAnsi="宋体" w:eastAsia="宋体" w:cs="宋体"/>
          <w:b/>
          <w:bCs/>
          <w:color w:val="auto"/>
          <w:highlight w:val="none"/>
        </w:rPr>
        <w:t xml:space="preserve"> </w:t>
      </w:r>
    </w:p>
    <w:tbl>
      <w:tblPr>
        <w:tblStyle w:val="36"/>
        <w:tblW w:w="8019"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04"/>
        <w:gridCol w:w="4444"/>
        <w:gridCol w:w="1662"/>
        <w:gridCol w:w="1409"/>
      </w:tblGrid>
      <w:tr w14:paraId="31FF8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trPr>
        <w:tc>
          <w:tcPr>
            <w:tcW w:w="504" w:type="dxa"/>
            <w:noWrap w:val="0"/>
            <w:tcMar>
              <w:top w:w="0" w:type="dxa"/>
              <w:left w:w="0" w:type="dxa"/>
              <w:bottom w:w="0" w:type="dxa"/>
              <w:right w:w="0" w:type="dxa"/>
            </w:tcMar>
            <w:vAlign w:val="center"/>
          </w:tcPr>
          <w:p w14:paraId="0C950CD5">
            <w:pPr>
              <w:pStyle w:val="616"/>
              <w:shd w:val="clear" w:color="auto" w:fill="auto"/>
              <w:jc w:val="center"/>
              <w:rPr>
                <w:rFonts w:ascii="宋体" w:hAnsi="宋体" w:eastAsia="宋体" w:cs="宋体"/>
                <w:color w:val="auto"/>
                <w:highlight w:val="none"/>
              </w:rPr>
            </w:pPr>
            <w:r>
              <w:rPr>
                <w:rFonts w:ascii="宋体" w:hAnsi="宋体" w:eastAsia="宋体" w:cs="宋体"/>
                <w:color w:val="auto"/>
                <w:highlight w:val="none"/>
              </w:rPr>
              <w:t>序号</w:t>
            </w:r>
          </w:p>
        </w:tc>
        <w:tc>
          <w:tcPr>
            <w:tcW w:w="4444" w:type="dxa"/>
            <w:noWrap w:val="0"/>
            <w:tcMar>
              <w:top w:w="0" w:type="dxa"/>
              <w:left w:w="0" w:type="dxa"/>
              <w:bottom w:w="0" w:type="dxa"/>
              <w:right w:w="0" w:type="dxa"/>
            </w:tcMar>
            <w:vAlign w:val="center"/>
          </w:tcPr>
          <w:p w14:paraId="1414F513">
            <w:pPr>
              <w:pStyle w:val="616"/>
              <w:shd w:val="clear" w:color="auto" w:fill="auto"/>
              <w:jc w:val="center"/>
              <w:rPr>
                <w:rFonts w:ascii="宋体" w:hAnsi="宋体" w:eastAsia="宋体" w:cs="宋体"/>
                <w:color w:val="auto"/>
                <w:highlight w:val="none"/>
              </w:rPr>
            </w:pPr>
            <w:r>
              <w:rPr>
                <w:rFonts w:hint="eastAsia" w:ascii="宋体" w:hAnsi="宋体" w:eastAsia="宋体" w:cs="宋体"/>
                <w:color w:val="auto"/>
                <w:highlight w:val="none"/>
              </w:rPr>
              <w:t>商务条款</w:t>
            </w:r>
            <w:r>
              <w:rPr>
                <w:rFonts w:ascii="宋体" w:hAnsi="宋体" w:eastAsia="宋体" w:cs="宋体"/>
                <w:color w:val="auto"/>
                <w:highlight w:val="none"/>
              </w:rPr>
              <w:t>的实质性要求</w:t>
            </w:r>
          </w:p>
          <w:p w14:paraId="639456F0">
            <w:pPr>
              <w:pStyle w:val="616"/>
              <w:shd w:val="clear" w:color="auto" w:fill="auto"/>
              <w:jc w:val="center"/>
              <w:rPr>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662" w:type="dxa"/>
            <w:noWrap w:val="0"/>
            <w:tcMar>
              <w:top w:w="0" w:type="dxa"/>
              <w:left w:w="0" w:type="dxa"/>
              <w:bottom w:w="0" w:type="dxa"/>
              <w:right w:w="0" w:type="dxa"/>
            </w:tcMar>
            <w:vAlign w:val="center"/>
          </w:tcPr>
          <w:p w14:paraId="362C6B81">
            <w:pPr>
              <w:pStyle w:val="616"/>
              <w:shd w:val="clear" w:color="auto" w:fill="auto"/>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409" w:type="dxa"/>
            <w:noWrap w:val="0"/>
            <w:tcMar>
              <w:top w:w="0" w:type="dxa"/>
              <w:left w:w="0" w:type="dxa"/>
              <w:bottom w:w="0" w:type="dxa"/>
              <w:right w:w="0" w:type="dxa"/>
            </w:tcMar>
            <w:vAlign w:val="center"/>
          </w:tcPr>
          <w:p w14:paraId="500DBE6F">
            <w:pPr>
              <w:pStyle w:val="616"/>
              <w:shd w:val="clear" w:color="auto" w:fill="auto"/>
              <w:jc w:val="center"/>
              <w:rPr>
                <w:rFonts w:ascii="宋体" w:hAnsi="宋体" w:eastAsia="宋体" w:cs="宋体"/>
                <w:color w:val="auto"/>
                <w:highlight w:val="none"/>
              </w:rPr>
            </w:pPr>
            <w:r>
              <w:rPr>
                <w:rFonts w:hint="eastAsia" w:ascii="宋体" w:hAnsi="宋体" w:eastAsia="宋体" w:cs="宋体"/>
                <w:color w:val="auto"/>
                <w:highlight w:val="none"/>
              </w:rPr>
              <w:t>正偏离、符合或负偏离</w:t>
            </w:r>
          </w:p>
        </w:tc>
      </w:tr>
      <w:tr w14:paraId="7112B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04" w:type="dxa"/>
            <w:noWrap w:val="0"/>
            <w:tcMar>
              <w:top w:w="0" w:type="dxa"/>
              <w:left w:w="0" w:type="dxa"/>
              <w:bottom w:w="0" w:type="dxa"/>
              <w:right w:w="0" w:type="dxa"/>
            </w:tcMar>
            <w:vAlign w:val="center"/>
          </w:tcPr>
          <w:p w14:paraId="1EC8BAD1">
            <w:pPr>
              <w:pStyle w:val="616"/>
              <w:shd w:val="clear" w:color="auto" w:fill="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4444" w:type="dxa"/>
            <w:noWrap w:val="0"/>
            <w:tcMar>
              <w:top w:w="0" w:type="dxa"/>
              <w:left w:w="0" w:type="dxa"/>
              <w:bottom w:w="0" w:type="dxa"/>
              <w:right w:w="0" w:type="dxa"/>
            </w:tcMar>
            <w:vAlign w:val="center"/>
          </w:tcPr>
          <w:p w14:paraId="15B38944">
            <w:pPr>
              <w:pStyle w:val="582"/>
              <w:shd w:val="clear" w:color="auto" w:fill="auto"/>
              <w:spacing w:line="440" w:lineRule="exact"/>
              <w:ind w:firstLine="500"/>
              <w:rPr>
                <w:rFonts w:ascii="宋体" w:hAnsi="宋体" w:eastAsia="宋体" w:cs="宋体"/>
                <w:i/>
                <w:color w:val="auto"/>
                <w:highlight w:val="none"/>
                <w:u w:val="single"/>
              </w:rPr>
            </w:pPr>
          </w:p>
        </w:tc>
        <w:tc>
          <w:tcPr>
            <w:tcW w:w="1662" w:type="dxa"/>
            <w:noWrap w:val="0"/>
            <w:tcMar>
              <w:top w:w="0" w:type="dxa"/>
              <w:left w:w="0" w:type="dxa"/>
              <w:bottom w:w="0" w:type="dxa"/>
              <w:right w:w="0" w:type="dxa"/>
            </w:tcMar>
            <w:vAlign w:val="center"/>
          </w:tcPr>
          <w:p w14:paraId="164A727B">
            <w:pPr>
              <w:pStyle w:val="616"/>
              <w:shd w:val="clear" w:color="auto" w:fill="auto"/>
              <w:jc w:val="center"/>
              <w:rPr>
                <w:rFonts w:ascii="宋体" w:hAnsi="宋体" w:eastAsia="宋体" w:cs="宋体"/>
                <w:color w:val="auto"/>
                <w:highlight w:val="none"/>
              </w:rPr>
            </w:pPr>
          </w:p>
        </w:tc>
        <w:tc>
          <w:tcPr>
            <w:tcW w:w="1409" w:type="dxa"/>
            <w:noWrap w:val="0"/>
            <w:tcMar>
              <w:top w:w="0" w:type="dxa"/>
              <w:left w:w="0" w:type="dxa"/>
              <w:bottom w:w="0" w:type="dxa"/>
              <w:right w:w="0" w:type="dxa"/>
            </w:tcMar>
            <w:vAlign w:val="center"/>
          </w:tcPr>
          <w:p w14:paraId="71978458">
            <w:pPr>
              <w:pStyle w:val="616"/>
              <w:shd w:val="clear" w:color="auto" w:fill="auto"/>
              <w:jc w:val="center"/>
              <w:rPr>
                <w:rFonts w:ascii="宋体" w:hAnsi="宋体" w:eastAsia="宋体" w:cs="宋体"/>
                <w:color w:val="auto"/>
                <w:highlight w:val="none"/>
              </w:rPr>
            </w:pPr>
          </w:p>
        </w:tc>
      </w:tr>
      <w:tr w14:paraId="18F7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04" w:type="dxa"/>
            <w:noWrap w:val="0"/>
            <w:tcMar>
              <w:top w:w="0" w:type="dxa"/>
              <w:left w:w="0" w:type="dxa"/>
              <w:bottom w:w="0" w:type="dxa"/>
              <w:right w:w="0" w:type="dxa"/>
            </w:tcMar>
            <w:vAlign w:val="center"/>
          </w:tcPr>
          <w:p w14:paraId="304CF42A">
            <w:pPr>
              <w:pStyle w:val="616"/>
              <w:shd w:val="clear" w:color="auto" w:fill="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4444" w:type="dxa"/>
            <w:noWrap w:val="0"/>
            <w:tcMar>
              <w:top w:w="0" w:type="dxa"/>
              <w:left w:w="0" w:type="dxa"/>
              <w:bottom w:w="0" w:type="dxa"/>
              <w:right w:w="0" w:type="dxa"/>
            </w:tcMar>
            <w:vAlign w:val="center"/>
          </w:tcPr>
          <w:p w14:paraId="122EF7A4">
            <w:pPr>
              <w:pStyle w:val="582"/>
              <w:shd w:val="clear" w:color="auto" w:fill="auto"/>
              <w:spacing w:line="440" w:lineRule="exact"/>
              <w:ind w:firstLine="500"/>
              <w:rPr>
                <w:rFonts w:ascii="宋体" w:hAnsi="宋体" w:eastAsia="宋体" w:cs="宋体"/>
                <w:color w:val="auto"/>
                <w:highlight w:val="none"/>
              </w:rPr>
            </w:pPr>
          </w:p>
        </w:tc>
        <w:tc>
          <w:tcPr>
            <w:tcW w:w="1662" w:type="dxa"/>
            <w:noWrap w:val="0"/>
            <w:tcMar>
              <w:top w:w="0" w:type="dxa"/>
              <w:left w:w="0" w:type="dxa"/>
              <w:bottom w:w="0" w:type="dxa"/>
              <w:right w:w="0" w:type="dxa"/>
            </w:tcMar>
            <w:vAlign w:val="center"/>
          </w:tcPr>
          <w:p w14:paraId="6823FAA8">
            <w:pPr>
              <w:pStyle w:val="616"/>
              <w:shd w:val="clear" w:color="auto" w:fill="auto"/>
              <w:jc w:val="center"/>
              <w:rPr>
                <w:rFonts w:ascii="宋体" w:hAnsi="宋体" w:eastAsia="宋体" w:cs="宋体"/>
                <w:color w:val="auto"/>
                <w:highlight w:val="none"/>
              </w:rPr>
            </w:pPr>
          </w:p>
        </w:tc>
        <w:tc>
          <w:tcPr>
            <w:tcW w:w="1409" w:type="dxa"/>
            <w:noWrap w:val="0"/>
            <w:tcMar>
              <w:top w:w="0" w:type="dxa"/>
              <w:left w:w="0" w:type="dxa"/>
              <w:bottom w:w="0" w:type="dxa"/>
              <w:right w:w="0" w:type="dxa"/>
            </w:tcMar>
            <w:vAlign w:val="center"/>
          </w:tcPr>
          <w:p w14:paraId="31BC40A5">
            <w:pPr>
              <w:pStyle w:val="616"/>
              <w:shd w:val="clear" w:color="auto" w:fill="auto"/>
              <w:jc w:val="center"/>
              <w:rPr>
                <w:rFonts w:ascii="宋体" w:hAnsi="宋体" w:eastAsia="宋体" w:cs="宋体"/>
                <w:color w:val="auto"/>
                <w:highlight w:val="none"/>
              </w:rPr>
            </w:pPr>
          </w:p>
        </w:tc>
      </w:tr>
      <w:tr w14:paraId="6312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04" w:type="dxa"/>
            <w:noWrap w:val="0"/>
            <w:tcMar>
              <w:top w:w="0" w:type="dxa"/>
              <w:left w:w="0" w:type="dxa"/>
              <w:bottom w:w="0" w:type="dxa"/>
              <w:right w:w="0" w:type="dxa"/>
            </w:tcMar>
            <w:vAlign w:val="center"/>
          </w:tcPr>
          <w:p w14:paraId="6FC1D2A0">
            <w:pPr>
              <w:pStyle w:val="616"/>
              <w:shd w:val="clear" w:color="auto" w:fill="auto"/>
              <w:jc w:val="center"/>
              <w:rPr>
                <w:rFonts w:ascii="宋体" w:hAnsi="宋体" w:eastAsia="宋体" w:cs="宋体"/>
                <w:color w:val="auto"/>
                <w:highlight w:val="none"/>
              </w:rPr>
            </w:pPr>
          </w:p>
        </w:tc>
        <w:tc>
          <w:tcPr>
            <w:tcW w:w="4444" w:type="dxa"/>
            <w:noWrap w:val="0"/>
            <w:tcMar>
              <w:top w:w="0" w:type="dxa"/>
              <w:left w:w="0" w:type="dxa"/>
              <w:bottom w:w="0" w:type="dxa"/>
              <w:right w:w="0" w:type="dxa"/>
            </w:tcMar>
            <w:vAlign w:val="center"/>
          </w:tcPr>
          <w:p w14:paraId="34F65DB9">
            <w:pPr>
              <w:pStyle w:val="582"/>
              <w:shd w:val="clear" w:color="auto" w:fill="auto"/>
              <w:spacing w:line="440" w:lineRule="exact"/>
              <w:rPr>
                <w:rFonts w:ascii="宋体" w:hAnsi="宋体" w:eastAsia="宋体" w:cs="宋体"/>
                <w:color w:val="auto"/>
                <w:highlight w:val="none"/>
              </w:rPr>
            </w:pPr>
            <w:r>
              <w:rPr>
                <w:rFonts w:hint="eastAsia" w:ascii="宋体" w:hAnsi="宋体" w:eastAsia="宋体" w:cs="宋体"/>
                <w:color w:val="auto"/>
                <w:highlight w:val="none"/>
              </w:rPr>
              <w:t>……</w:t>
            </w:r>
          </w:p>
        </w:tc>
        <w:tc>
          <w:tcPr>
            <w:tcW w:w="1662" w:type="dxa"/>
            <w:noWrap w:val="0"/>
            <w:tcMar>
              <w:top w:w="0" w:type="dxa"/>
              <w:left w:w="0" w:type="dxa"/>
              <w:bottom w:w="0" w:type="dxa"/>
              <w:right w:w="0" w:type="dxa"/>
            </w:tcMar>
            <w:vAlign w:val="center"/>
          </w:tcPr>
          <w:p w14:paraId="3F81924B">
            <w:pPr>
              <w:pStyle w:val="616"/>
              <w:shd w:val="clear" w:color="auto" w:fill="auto"/>
              <w:jc w:val="center"/>
              <w:rPr>
                <w:rFonts w:ascii="宋体" w:hAnsi="宋体" w:eastAsia="宋体" w:cs="宋体"/>
                <w:color w:val="auto"/>
                <w:highlight w:val="none"/>
              </w:rPr>
            </w:pPr>
          </w:p>
        </w:tc>
        <w:tc>
          <w:tcPr>
            <w:tcW w:w="1409" w:type="dxa"/>
            <w:noWrap w:val="0"/>
            <w:tcMar>
              <w:top w:w="0" w:type="dxa"/>
              <w:left w:w="0" w:type="dxa"/>
              <w:bottom w:w="0" w:type="dxa"/>
              <w:right w:w="0" w:type="dxa"/>
            </w:tcMar>
            <w:vAlign w:val="center"/>
          </w:tcPr>
          <w:p w14:paraId="09AD06F0">
            <w:pPr>
              <w:pStyle w:val="616"/>
              <w:shd w:val="clear" w:color="auto" w:fill="auto"/>
              <w:jc w:val="center"/>
              <w:rPr>
                <w:rFonts w:ascii="宋体" w:hAnsi="宋体" w:eastAsia="宋体" w:cs="宋体"/>
                <w:color w:val="auto"/>
                <w:highlight w:val="none"/>
              </w:rPr>
            </w:pPr>
          </w:p>
        </w:tc>
      </w:tr>
    </w:tbl>
    <w:p w14:paraId="4CC81AC1">
      <w:pPr>
        <w:shd w:val="clear" w:color="auto" w:fill="auto"/>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68D504C2">
      <w:pPr>
        <w:shd w:val="clear" w:color="auto" w:fill="auto"/>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p w14:paraId="1EFAFC0C">
      <w:pPr>
        <w:pStyle w:val="616"/>
        <w:shd w:val="clear" w:color="auto" w:fill="auto"/>
        <w:rPr>
          <w:rFonts w:ascii="宋体" w:hAnsi="宋体" w:eastAsia="宋体" w:cs="宋体"/>
          <w:color w:val="auto"/>
          <w:highlight w:val="none"/>
        </w:rPr>
      </w:pPr>
    </w:p>
    <w:p w14:paraId="272BBEC8">
      <w:pPr>
        <w:pStyle w:val="616"/>
        <w:shd w:val="clear" w:color="auto" w:fill="auto"/>
        <w:ind w:firstLine="482"/>
        <w:rPr>
          <w:rFonts w:ascii="宋体" w:hAnsi="宋体" w:eastAsia="宋体" w:cs="宋体"/>
          <w:b/>
          <w:bCs/>
          <w:color w:val="auto"/>
          <w:highlight w:val="none"/>
        </w:rPr>
      </w:pPr>
    </w:p>
    <w:p w14:paraId="1185F7F5">
      <w:pPr>
        <w:pStyle w:val="616"/>
        <w:shd w:val="clear" w:color="auto" w:fill="auto"/>
        <w:rPr>
          <w:rFonts w:ascii="宋体" w:hAnsi="宋体" w:eastAsia="宋体" w:cs="宋体"/>
          <w:b/>
          <w:bCs/>
          <w:color w:val="auto"/>
          <w:highlight w:val="none"/>
        </w:rPr>
      </w:pPr>
      <w:r>
        <w:rPr>
          <w:rFonts w:hint="eastAsia" w:ascii="宋体" w:hAnsi="宋体" w:eastAsia="宋体" w:cs="宋体"/>
          <w:b/>
          <w:bCs/>
          <w:color w:val="auto"/>
          <w:highlight w:val="none"/>
        </w:rPr>
        <w:t>2、技术要求的实质性格式</w:t>
      </w:r>
    </w:p>
    <w:tbl>
      <w:tblPr>
        <w:tblStyle w:val="36"/>
        <w:tblW w:w="8052"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29"/>
        <w:gridCol w:w="4455"/>
        <w:gridCol w:w="1534"/>
        <w:gridCol w:w="1534"/>
      </w:tblGrid>
      <w:tr w14:paraId="23C3C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3" w:hRule="atLeast"/>
        </w:trPr>
        <w:tc>
          <w:tcPr>
            <w:tcW w:w="529" w:type="dxa"/>
            <w:noWrap w:val="0"/>
            <w:tcMar>
              <w:top w:w="0" w:type="dxa"/>
              <w:left w:w="0" w:type="dxa"/>
              <w:bottom w:w="0" w:type="dxa"/>
              <w:right w:w="0" w:type="dxa"/>
            </w:tcMar>
            <w:vAlign w:val="center"/>
          </w:tcPr>
          <w:p w14:paraId="0D3ECB9B">
            <w:pPr>
              <w:pStyle w:val="616"/>
              <w:shd w:val="clear" w:color="auto" w:fill="auto"/>
              <w:jc w:val="center"/>
              <w:rPr>
                <w:rFonts w:ascii="宋体" w:hAnsi="宋体" w:eastAsia="宋体" w:cs="宋体"/>
                <w:color w:val="auto"/>
                <w:highlight w:val="none"/>
              </w:rPr>
            </w:pPr>
            <w:r>
              <w:rPr>
                <w:rFonts w:ascii="宋体" w:hAnsi="宋体" w:eastAsia="宋体" w:cs="宋体"/>
                <w:color w:val="auto"/>
                <w:highlight w:val="none"/>
              </w:rPr>
              <w:t>序号</w:t>
            </w:r>
          </w:p>
        </w:tc>
        <w:tc>
          <w:tcPr>
            <w:tcW w:w="4455" w:type="dxa"/>
            <w:noWrap w:val="0"/>
            <w:tcMar>
              <w:top w:w="0" w:type="dxa"/>
              <w:left w:w="0" w:type="dxa"/>
              <w:bottom w:w="0" w:type="dxa"/>
              <w:right w:w="0" w:type="dxa"/>
            </w:tcMar>
            <w:vAlign w:val="center"/>
          </w:tcPr>
          <w:p w14:paraId="4C627D33">
            <w:pPr>
              <w:pStyle w:val="616"/>
              <w:shd w:val="clear" w:color="auto" w:fill="auto"/>
              <w:jc w:val="center"/>
              <w:rPr>
                <w:rFonts w:ascii="宋体" w:hAnsi="宋体" w:eastAsia="宋体" w:cs="宋体"/>
                <w:color w:val="auto"/>
                <w:highlight w:val="none"/>
              </w:rPr>
            </w:pPr>
            <w:r>
              <w:rPr>
                <w:rFonts w:hint="eastAsia" w:ascii="宋体" w:hAnsi="宋体" w:eastAsia="宋体" w:cs="宋体"/>
                <w:color w:val="auto"/>
                <w:highlight w:val="none"/>
              </w:rPr>
              <w:t>技术要求</w:t>
            </w:r>
            <w:r>
              <w:rPr>
                <w:rFonts w:ascii="宋体" w:hAnsi="宋体" w:eastAsia="宋体" w:cs="宋体"/>
                <w:color w:val="auto"/>
                <w:highlight w:val="none"/>
              </w:rPr>
              <w:t>的实质性要求</w:t>
            </w:r>
          </w:p>
          <w:p w14:paraId="6234AA79">
            <w:pPr>
              <w:pStyle w:val="616"/>
              <w:shd w:val="clear" w:color="auto" w:fill="auto"/>
              <w:jc w:val="center"/>
              <w:rPr>
                <w:rFonts w:ascii="宋体" w:hAnsi="宋体" w:eastAsia="宋体" w:cs="宋体"/>
                <w:color w:val="auto"/>
                <w:highlight w:val="non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534" w:type="dxa"/>
            <w:noWrap w:val="0"/>
            <w:tcMar>
              <w:top w:w="0" w:type="dxa"/>
              <w:left w:w="0" w:type="dxa"/>
              <w:bottom w:w="0" w:type="dxa"/>
              <w:right w:w="0" w:type="dxa"/>
            </w:tcMar>
            <w:vAlign w:val="center"/>
          </w:tcPr>
          <w:p w14:paraId="33BD52EC">
            <w:pPr>
              <w:pStyle w:val="616"/>
              <w:shd w:val="clear" w:color="auto" w:fill="auto"/>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534" w:type="dxa"/>
            <w:noWrap w:val="0"/>
            <w:tcMar>
              <w:top w:w="0" w:type="dxa"/>
              <w:left w:w="0" w:type="dxa"/>
              <w:bottom w:w="0" w:type="dxa"/>
              <w:right w:w="0" w:type="dxa"/>
            </w:tcMar>
            <w:vAlign w:val="center"/>
          </w:tcPr>
          <w:p w14:paraId="775DEB45">
            <w:pPr>
              <w:pStyle w:val="616"/>
              <w:shd w:val="clear" w:color="auto" w:fill="auto"/>
              <w:jc w:val="center"/>
              <w:rPr>
                <w:rFonts w:ascii="宋体" w:hAnsi="宋体" w:eastAsia="宋体" w:cs="宋体"/>
                <w:color w:val="auto"/>
                <w:highlight w:val="none"/>
              </w:rPr>
            </w:pPr>
            <w:r>
              <w:rPr>
                <w:rFonts w:hint="eastAsia" w:ascii="宋体" w:hAnsi="宋体" w:eastAsia="宋体" w:cs="宋体"/>
                <w:color w:val="auto"/>
                <w:highlight w:val="none"/>
              </w:rPr>
              <w:t>正偏离、符合或负偏离</w:t>
            </w:r>
          </w:p>
        </w:tc>
      </w:tr>
      <w:tr w14:paraId="0C3FC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29" w:type="dxa"/>
            <w:noWrap w:val="0"/>
            <w:tcMar>
              <w:top w:w="0" w:type="dxa"/>
              <w:left w:w="0" w:type="dxa"/>
              <w:bottom w:w="0" w:type="dxa"/>
              <w:right w:w="0" w:type="dxa"/>
            </w:tcMar>
            <w:vAlign w:val="center"/>
          </w:tcPr>
          <w:p w14:paraId="14B03690">
            <w:pPr>
              <w:pStyle w:val="616"/>
              <w:shd w:val="clear" w:color="auto" w:fill="auto"/>
              <w:jc w:val="center"/>
              <w:rPr>
                <w:rFonts w:ascii="宋体" w:hAnsi="宋体" w:eastAsia="宋体" w:cs="宋体"/>
                <w:color w:val="auto"/>
                <w:highlight w:val="none"/>
              </w:rPr>
            </w:pPr>
            <w:r>
              <w:rPr>
                <w:rFonts w:hint="eastAsia" w:ascii="宋体" w:hAnsi="宋体" w:eastAsia="宋体" w:cs="宋体"/>
                <w:color w:val="auto"/>
                <w:highlight w:val="none"/>
              </w:rPr>
              <w:t>1</w:t>
            </w:r>
          </w:p>
        </w:tc>
        <w:tc>
          <w:tcPr>
            <w:tcW w:w="4455" w:type="dxa"/>
            <w:noWrap w:val="0"/>
            <w:tcMar>
              <w:top w:w="0" w:type="dxa"/>
              <w:left w:w="0" w:type="dxa"/>
              <w:bottom w:w="0" w:type="dxa"/>
              <w:right w:w="0" w:type="dxa"/>
            </w:tcMar>
            <w:vAlign w:val="center"/>
          </w:tcPr>
          <w:p w14:paraId="6B95341A">
            <w:pPr>
              <w:pStyle w:val="616"/>
              <w:shd w:val="clear" w:color="auto" w:fill="auto"/>
              <w:rPr>
                <w:rFonts w:ascii="宋体" w:hAnsi="宋体" w:eastAsia="宋体" w:cs="宋体"/>
                <w:i/>
                <w:color w:val="auto"/>
                <w:highlight w:val="none"/>
                <w:u w:val="single"/>
              </w:rPr>
            </w:pPr>
          </w:p>
        </w:tc>
        <w:tc>
          <w:tcPr>
            <w:tcW w:w="1534" w:type="dxa"/>
            <w:noWrap w:val="0"/>
            <w:tcMar>
              <w:top w:w="0" w:type="dxa"/>
              <w:left w:w="0" w:type="dxa"/>
              <w:bottom w:w="0" w:type="dxa"/>
              <w:right w:w="0" w:type="dxa"/>
            </w:tcMar>
            <w:vAlign w:val="center"/>
          </w:tcPr>
          <w:p w14:paraId="0E31B774">
            <w:pPr>
              <w:pStyle w:val="616"/>
              <w:shd w:val="clear" w:color="auto" w:fill="auto"/>
              <w:jc w:val="center"/>
              <w:rPr>
                <w:rFonts w:ascii="宋体" w:hAnsi="宋体" w:eastAsia="宋体" w:cs="宋体"/>
                <w:color w:val="auto"/>
                <w:highlight w:val="none"/>
              </w:rPr>
            </w:pPr>
          </w:p>
        </w:tc>
        <w:tc>
          <w:tcPr>
            <w:tcW w:w="1534" w:type="dxa"/>
            <w:noWrap w:val="0"/>
            <w:tcMar>
              <w:top w:w="0" w:type="dxa"/>
              <w:left w:w="0" w:type="dxa"/>
              <w:bottom w:w="0" w:type="dxa"/>
              <w:right w:w="0" w:type="dxa"/>
            </w:tcMar>
            <w:vAlign w:val="center"/>
          </w:tcPr>
          <w:p w14:paraId="5FBADE41">
            <w:pPr>
              <w:pStyle w:val="616"/>
              <w:shd w:val="clear" w:color="auto" w:fill="auto"/>
              <w:jc w:val="center"/>
              <w:rPr>
                <w:rFonts w:ascii="宋体" w:hAnsi="宋体" w:eastAsia="宋体" w:cs="宋体"/>
                <w:color w:val="auto"/>
                <w:highlight w:val="none"/>
              </w:rPr>
            </w:pPr>
          </w:p>
        </w:tc>
      </w:tr>
      <w:tr w14:paraId="4295E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29" w:type="dxa"/>
            <w:noWrap w:val="0"/>
            <w:tcMar>
              <w:top w:w="0" w:type="dxa"/>
              <w:left w:w="0" w:type="dxa"/>
              <w:bottom w:w="0" w:type="dxa"/>
              <w:right w:w="0" w:type="dxa"/>
            </w:tcMar>
            <w:vAlign w:val="center"/>
          </w:tcPr>
          <w:p w14:paraId="1BC7F99C">
            <w:pPr>
              <w:pStyle w:val="616"/>
              <w:shd w:val="clear" w:color="auto" w:fill="auto"/>
              <w:jc w:val="center"/>
              <w:rPr>
                <w:rFonts w:ascii="宋体" w:hAnsi="宋体" w:eastAsia="宋体" w:cs="宋体"/>
                <w:color w:val="auto"/>
                <w:highlight w:val="none"/>
              </w:rPr>
            </w:pPr>
            <w:r>
              <w:rPr>
                <w:rFonts w:hint="eastAsia" w:ascii="宋体" w:hAnsi="宋体" w:eastAsia="宋体" w:cs="宋体"/>
                <w:color w:val="auto"/>
                <w:highlight w:val="none"/>
              </w:rPr>
              <w:t>2</w:t>
            </w:r>
          </w:p>
        </w:tc>
        <w:tc>
          <w:tcPr>
            <w:tcW w:w="4455" w:type="dxa"/>
            <w:noWrap w:val="0"/>
            <w:tcMar>
              <w:top w:w="0" w:type="dxa"/>
              <w:left w:w="0" w:type="dxa"/>
              <w:bottom w:w="0" w:type="dxa"/>
              <w:right w:w="0" w:type="dxa"/>
            </w:tcMar>
            <w:vAlign w:val="center"/>
          </w:tcPr>
          <w:p w14:paraId="669D16D0">
            <w:pPr>
              <w:pStyle w:val="616"/>
              <w:shd w:val="clear" w:color="auto" w:fill="auto"/>
              <w:rPr>
                <w:rFonts w:ascii="宋体" w:hAnsi="宋体" w:cs="宋体"/>
                <w:b/>
                <w:i/>
                <w:iCs/>
                <w:color w:val="auto"/>
                <w:highlight w:val="none"/>
                <w:u w:val="single"/>
              </w:rPr>
            </w:pPr>
          </w:p>
        </w:tc>
        <w:tc>
          <w:tcPr>
            <w:tcW w:w="1534" w:type="dxa"/>
            <w:noWrap w:val="0"/>
            <w:tcMar>
              <w:top w:w="0" w:type="dxa"/>
              <w:left w:w="0" w:type="dxa"/>
              <w:bottom w:w="0" w:type="dxa"/>
              <w:right w:w="0" w:type="dxa"/>
            </w:tcMar>
            <w:vAlign w:val="center"/>
          </w:tcPr>
          <w:p w14:paraId="50B0081E">
            <w:pPr>
              <w:pStyle w:val="616"/>
              <w:shd w:val="clear" w:color="auto" w:fill="auto"/>
              <w:jc w:val="center"/>
              <w:rPr>
                <w:rFonts w:ascii="宋体" w:hAnsi="宋体" w:eastAsia="宋体" w:cs="宋体"/>
                <w:color w:val="auto"/>
                <w:highlight w:val="none"/>
              </w:rPr>
            </w:pPr>
          </w:p>
        </w:tc>
        <w:tc>
          <w:tcPr>
            <w:tcW w:w="1534" w:type="dxa"/>
            <w:noWrap w:val="0"/>
            <w:tcMar>
              <w:top w:w="0" w:type="dxa"/>
              <w:left w:w="0" w:type="dxa"/>
              <w:bottom w:w="0" w:type="dxa"/>
              <w:right w:w="0" w:type="dxa"/>
            </w:tcMar>
            <w:vAlign w:val="center"/>
          </w:tcPr>
          <w:p w14:paraId="3A2D8B7C">
            <w:pPr>
              <w:pStyle w:val="616"/>
              <w:shd w:val="clear" w:color="auto" w:fill="auto"/>
              <w:jc w:val="center"/>
              <w:rPr>
                <w:rFonts w:ascii="宋体" w:hAnsi="宋体" w:eastAsia="宋体" w:cs="宋体"/>
                <w:color w:val="auto"/>
                <w:highlight w:val="none"/>
              </w:rPr>
            </w:pPr>
          </w:p>
        </w:tc>
      </w:tr>
      <w:tr w14:paraId="3DAAF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29" w:type="dxa"/>
            <w:noWrap w:val="0"/>
            <w:tcMar>
              <w:top w:w="0" w:type="dxa"/>
              <w:left w:w="0" w:type="dxa"/>
              <w:bottom w:w="0" w:type="dxa"/>
              <w:right w:w="0" w:type="dxa"/>
            </w:tcMar>
            <w:vAlign w:val="center"/>
          </w:tcPr>
          <w:p w14:paraId="547098D3">
            <w:pPr>
              <w:pStyle w:val="616"/>
              <w:shd w:val="clear" w:color="auto" w:fill="auto"/>
              <w:jc w:val="center"/>
              <w:rPr>
                <w:rFonts w:ascii="宋体" w:hAnsi="宋体" w:eastAsia="宋体" w:cs="宋体"/>
                <w:color w:val="auto"/>
                <w:highlight w:val="none"/>
              </w:rPr>
            </w:pPr>
            <w:r>
              <w:rPr>
                <w:rFonts w:hint="eastAsia" w:ascii="宋体" w:hAnsi="宋体" w:eastAsia="宋体" w:cs="宋体"/>
                <w:color w:val="auto"/>
                <w:highlight w:val="none"/>
              </w:rPr>
              <w:t>3</w:t>
            </w:r>
          </w:p>
        </w:tc>
        <w:tc>
          <w:tcPr>
            <w:tcW w:w="4455" w:type="dxa"/>
            <w:noWrap w:val="0"/>
            <w:tcMar>
              <w:top w:w="0" w:type="dxa"/>
              <w:left w:w="0" w:type="dxa"/>
              <w:bottom w:w="0" w:type="dxa"/>
              <w:right w:w="0" w:type="dxa"/>
            </w:tcMar>
            <w:vAlign w:val="center"/>
          </w:tcPr>
          <w:p w14:paraId="550E51F7">
            <w:pPr>
              <w:pStyle w:val="616"/>
              <w:shd w:val="clear" w:color="auto" w:fill="auto"/>
              <w:rPr>
                <w:rFonts w:ascii="宋体" w:hAnsi="宋体" w:eastAsia="宋体" w:cs="宋体"/>
                <w:color w:val="auto"/>
                <w:highlight w:val="none"/>
              </w:rPr>
            </w:pPr>
          </w:p>
        </w:tc>
        <w:tc>
          <w:tcPr>
            <w:tcW w:w="1534" w:type="dxa"/>
            <w:noWrap w:val="0"/>
            <w:tcMar>
              <w:top w:w="0" w:type="dxa"/>
              <w:left w:w="0" w:type="dxa"/>
              <w:bottom w:w="0" w:type="dxa"/>
              <w:right w:w="0" w:type="dxa"/>
            </w:tcMar>
            <w:vAlign w:val="center"/>
          </w:tcPr>
          <w:p w14:paraId="689ED122">
            <w:pPr>
              <w:pStyle w:val="616"/>
              <w:shd w:val="clear" w:color="auto" w:fill="auto"/>
              <w:jc w:val="center"/>
              <w:rPr>
                <w:rFonts w:ascii="宋体" w:hAnsi="宋体" w:eastAsia="宋体" w:cs="宋体"/>
                <w:color w:val="auto"/>
                <w:highlight w:val="none"/>
              </w:rPr>
            </w:pPr>
          </w:p>
        </w:tc>
        <w:tc>
          <w:tcPr>
            <w:tcW w:w="1534" w:type="dxa"/>
            <w:noWrap w:val="0"/>
            <w:tcMar>
              <w:top w:w="0" w:type="dxa"/>
              <w:left w:w="0" w:type="dxa"/>
              <w:bottom w:w="0" w:type="dxa"/>
              <w:right w:w="0" w:type="dxa"/>
            </w:tcMar>
            <w:vAlign w:val="center"/>
          </w:tcPr>
          <w:p w14:paraId="2676B55F">
            <w:pPr>
              <w:pStyle w:val="616"/>
              <w:shd w:val="clear" w:color="auto" w:fill="auto"/>
              <w:jc w:val="center"/>
              <w:rPr>
                <w:rFonts w:ascii="宋体" w:hAnsi="宋体" w:eastAsia="宋体" w:cs="宋体"/>
                <w:color w:val="auto"/>
                <w:highlight w:val="none"/>
              </w:rPr>
            </w:pPr>
          </w:p>
        </w:tc>
      </w:tr>
      <w:tr w14:paraId="3817B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529" w:type="dxa"/>
            <w:noWrap w:val="0"/>
            <w:tcMar>
              <w:top w:w="0" w:type="dxa"/>
              <w:left w:w="0" w:type="dxa"/>
              <w:bottom w:w="0" w:type="dxa"/>
              <w:right w:w="0" w:type="dxa"/>
            </w:tcMar>
            <w:vAlign w:val="center"/>
          </w:tcPr>
          <w:p w14:paraId="4819B241">
            <w:pPr>
              <w:pStyle w:val="616"/>
              <w:shd w:val="clear" w:color="auto" w:fill="auto"/>
              <w:jc w:val="center"/>
              <w:rPr>
                <w:rFonts w:ascii="宋体" w:hAnsi="宋体" w:eastAsia="宋体" w:cs="宋体"/>
                <w:color w:val="auto"/>
                <w:highlight w:val="none"/>
              </w:rPr>
            </w:pPr>
          </w:p>
        </w:tc>
        <w:tc>
          <w:tcPr>
            <w:tcW w:w="4455" w:type="dxa"/>
            <w:noWrap w:val="0"/>
            <w:tcMar>
              <w:top w:w="0" w:type="dxa"/>
              <w:left w:w="0" w:type="dxa"/>
              <w:bottom w:w="0" w:type="dxa"/>
              <w:right w:w="0" w:type="dxa"/>
            </w:tcMar>
            <w:vAlign w:val="center"/>
          </w:tcPr>
          <w:p w14:paraId="39845179">
            <w:pPr>
              <w:pStyle w:val="616"/>
              <w:shd w:val="clear" w:color="auto" w:fill="auto"/>
              <w:rPr>
                <w:rFonts w:ascii="宋体" w:hAnsi="宋体" w:eastAsia="宋体" w:cs="宋体"/>
                <w:color w:val="auto"/>
                <w:highlight w:val="none"/>
              </w:rPr>
            </w:pPr>
            <w:r>
              <w:rPr>
                <w:rFonts w:hint="eastAsia" w:ascii="宋体" w:hAnsi="宋体" w:eastAsia="宋体" w:cs="宋体"/>
                <w:color w:val="auto"/>
                <w:highlight w:val="none"/>
              </w:rPr>
              <w:t>……</w:t>
            </w:r>
          </w:p>
        </w:tc>
        <w:tc>
          <w:tcPr>
            <w:tcW w:w="1534" w:type="dxa"/>
            <w:noWrap w:val="0"/>
            <w:tcMar>
              <w:top w:w="0" w:type="dxa"/>
              <w:left w:w="0" w:type="dxa"/>
              <w:bottom w:w="0" w:type="dxa"/>
              <w:right w:w="0" w:type="dxa"/>
            </w:tcMar>
            <w:vAlign w:val="center"/>
          </w:tcPr>
          <w:p w14:paraId="744BD14D">
            <w:pPr>
              <w:pStyle w:val="616"/>
              <w:shd w:val="clear" w:color="auto" w:fill="auto"/>
              <w:jc w:val="center"/>
              <w:rPr>
                <w:rFonts w:ascii="宋体" w:hAnsi="宋体" w:eastAsia="宋体" w:cs="宋体"/>
                <w:color w:val="auto"/>
                <w:highlight w:val="none"/>
              </w:rPr>
            </w:pPr>
          </w:p>
        </w:tc>
        <w:tc>
          <w:tcPr>
            <w:tcW w:w="1534" w:type="dxa"/>
            <w:noWrap w:val="0"/>
            <w:tcMar>
              <w:top w:w="0" w:type="dxa"/>
              <w:left w:w="0" w:type="dxa"/>
              <w:bottom w:w="0" w:type="dxa"/>
              <w:right w:w="0" w:type="dxa"/>
            </w:tcMar>
            <w:vAlign w:val="center"/>
          </w:tcPr>
          <w:p w14:paraId="19A271F7">
            <w:pPr>
              <w:pStyle w:val="616"/>
              <w:shd w:val="clear" w:color="auto" w:fill="auto"/>
              <w:jc w:val="center"/>
              <w:rPr>
                <w:rFonts w:ascii="宋体" w:hAnsi="宋体" w:eastAsia="宋体" w:cs="宋体"/>
                <w:color w:val="auto"/>
                <w:highlight w:val="none"/>
              </w:rPr>
            </w:pPr>
          </w:p>
        </w:tc>
      </w:tr>
    </w:tbl>
    <w:p w14:paraId="7A301AE9">
      <w:pPr>
        <w:shd w:val="clear" w:color="auto" w:fill="auto"/>
        <w:spacing w:line="360" w:lineRule="auto"/>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4F83A100">
      <w:pPr>
        <w:shd w:val="clear" w:color="auto" w:fill="auto"/>
        <w:spacing w:line="400" w:lineRule="exact"/>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w:t>
      </w:r>
      <w:r>
        <w:rPr>
          <w:rFonts w:hint="eastAsia" w:ascii="宋体" w:hAnsi="宋体" w:eastAsia="宋体" w:cs="Times New Roman"/>
          <w:color w:val="auto"/>
          <w:sz w:val="24"/>
          <w:szCs w:val="24"/>
          <w:highlight w:val="none"/>
        </w:rPr>
        <w:t>则该采购包作无效投标处理。</w:t>
      </w:r>
    </w:p>
    <w:p w14:paraId="5CC97A9D">
      <w:pPr>
        <w:shd w:val="clear" w:color="auto" w:fill="auto"/>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如果招标文件要求提供证明材料，投标人需将证明材料列于该表之下。</w:t>
      </w:r>
      <w:r>
        <w:rPr>
          <w:rStyle w:val="38"/>
          <w:rFonts w:hint="eastAsia" w:ascii="宋体" w:hAnsi="宋体" w:eastAsia="宋体" w:cs="宋体"/>
          <w:b w:val="0"/>
          <w:i w:val="0"/>
          <w:iCs w:val="0"/>
          <w:color w:val="auto"/>
          <w:sz w:val="24"/>
          <w:szCs w:val="24"/>
          <w:highlight w:val="none"/>
          <w:u w:val="none"/>
          <w:lang w:val="en-US" w:eastAsia="zh-CN" w:bidi="ar-SA"/>
        </w:rPr>
        <w:t>未提供相应证明材料，即视为未实质性响应，将被认定为无效投标。</w:t>
      </w:r>
      <w:r>
        <w:rPr>
          <w:rFonts w:hint="eastAsia" w:ascii="宋体" w:hAnsi="宋体" w:eastAsia="宋体" w:cs="Times New Roman"/>
          <w:color w:val="auto"/>
          <w:sz w:val="24"/>
          <w:szCs w:val="24"/>
          <w:highlight w:val="none"/>
        </w:rPr>
        <w:t> </w:t>
      </w:r>
    </w:p>
    <w:p w14:paraId="05DCE120">
      <w:pPr>
        <w:keepNext w:val="0"/>
        <w:keepLines w:val="0"/>
        <w:pageBreakBefore w:val="0"/>
        <w:widowControl w:val="0"/>
        <w:shd w:val="clear"/>
        <w:spacing w:line="360" w:lineRule="auto"/>
        <w:ind w:firstLine="643"/>
        <w:rPr>
          <w:rFonts w:hint="eastAsia" w:ascii="黑体" w:hAnsi="黑体" w:eastAsia="黑体" w:cs="黑体"/>
          <w:b/>
          <w:color w:val="auto"/>
          <w:sz w:val="32"/>
          <w:highlight w:val="none"/>
        </w:rPr>
      </w:pPr>
      <w:r>
        <w:rPr>
          <w:rFonts w:hint="eastAsia" w:ascii="黑体" w:hAnsi="黑体" w:eastAsia="黑体" w:cs="黑体"/>
          <w:b/>
          <w:color w:val="auto"/>
          <w:sz w:val="32"/>
          <w:highlight w:val="none"/>
          <w:lang w:val="en-US" w:eastAsia="zh-CN"/>
        </w:rPr>
        <w:br w:type="page" w:clear="all"/>
      </w:r>
    </w:p>
    <w:p w14:paraId="1286DB0B">
      <w:pPr>
        <w:pBdr>
          <w:top w:val="none" w:color="000000" w:sz="0" w:space="0"/>
          <w:left w:val="none" w:color="000000" w:sz="0" w:space="0"/>
          <w:bottom w:val="none" w:color="000000" w:sz="0" w:space="0"/>
          <w:right w:val="none" w:color="000000" w:sz="0" w:space="0"/>
        </w:pBdr>
        <w:shd w:val="clear"/>
        <w:spacing w:before="0" w:after="0"/>
        <w:ind w:left="0" w:right="0" w:firstLine="0"/>
        <w:jc w:val="center"/>
        <w:rPr>
          <w:color w:val="000000" w:themeColor="text1"/>
          <w:highlight w:val="none"/>
          <w14:textFill>
            <w14:solidFill>
              <w14:schemeClr w14:val="tx1"/>
            </w14:solidFill>
          </w14:textFill>
        </w:rPr>
      </w:pPr>
      <w:r>
        <w:rPr>
          <w:rFonts w:hint="eastAsia" w:ascii="黑体" w:hAnsi="黑体" w:eastAsia="黑体" w:cs="黑体"/>
          <w:b/>
          <w:color w:val="000000" w:themeColor="text1"/>
          <w:sz w:val="32"/>
          <w:highlight w:val="none"/>
          <w:lang w:val="en-US" w:eastAsia="zh-CN"/>
          <w14:textFill>
            <w14:solidFill>
              <w14:schemeClr w14:val="tx1"/>
            </w14:solidFill>
          </w14:textFill>
        </w:rPr>
        <w:t>十二</w:t>
      </w:r>
      <w:r>
        <w:rPr>
          <w:rFonts w:ascii="黑体" w:hAnsi="黑体" w:eastAsia="黑体" w:cs="黑体"/>
          <w:b/>
          <w:color w:val="000000" w:themeColor="text1"/>
          <w:sz w:val="32"/>
          <w:highlight w:val="none"/>
          <w14:textFill>
            <w14:solidFill>
              <w14:schemeClr w14:val="tx1"/>
            </w14:solidFill>
          </w14:textFill>
        </w:rPr>
        <w:t>、技术要求响应及偏离表</w:t>
      </w:r>
    </w:p>
    <w:p w14:paraId="0ED6F744">
      <w:pPr>
        <w:pBdr>
          <w:top w:val="none" w:color="000000" w:sz="0" w:space="0"/>
          <w:left w:val="none" w:color="000000" w:sz="0" w:space="0"/>
          <w:bottom w:val="none" w:color="000000" w:sz="0" w:space="0"/>
          <w:right w:val="none" w:color="000000" w:sz="0" w:space="0"/>
        </w:pBdr>
        <w:shd w:val="clear"/>
        <w:spacing w:before="0" w:after="0"/>
        <w:ind w:left="0" w:right="0" w:firstLine="0"/>
        <w:jc w:val="both"/>
        <w:rPr>
          <w:rFonts w:ascii="宋体" w:hAnsi="宋体" w:eastAsia="宋体" w:cs="宋体"/>
          <w:color w:val="000000" w:themeColor="text1"/>
          <w:sz w:val="24"/>
          <w:highlight w:val="none"/>
          <w14:textFill>
            <w14:solidFill>
              <w14:schemeClr w14:val="tx1"/>
            </w14:solidFill>
          </w14:textFill>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7F24A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tcBorders>
              <w:top w:val="single" w:color="auto" w:sz="4" w:space="0"/>
              <w:left w:val="single" w:color="auto" w:sz="4" w:space="0"/>
              <w:bottom w:val="single" w:color="auto" w:sz="4" w:space="0"/>
              <w:right w:val="single" w:color="auto" w:sz="4" w:space="0"/>
            </w:tcBorders>
            <w:noWrap w:val="0"/>
            <w:vAlign w:val="center"/>
          </w:tcPr>
          <w:p w14:paraId="189639CE">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3" w:type="dxa"/>
            <w:tcBorders>
              <w:top w:val="single" w:color="auto" w:sz="4" w:space="0"/>
              <w:left w:val="single" w:color="auto" w:sz="4" w:space="0"/>
              <w:bottom w:val="single" w:color="auto" w:sz="4" w:space="0"/>
              <w:right w:val="single" w:color="auto" w:sz="4" w:space="0"/>
            </w:tcBorders>
            <w:noWrap w:val="0"/>
            <w:vAlign w:val="center"/>
          </w:tcPr>
          <w:p w14:paraId="019E324D">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tc>
        <w:tc>
          <w:tcPr>
            <w:tcW w:w="3191" w:type="dxa"/>
            <w:tcBorders>
              <w:top w:val="single" w:color="auto" w:sz="4" w:space="0"/>
              <w:left w:val="single" w:color="auto" w:sz="4" w:space="0"/>
              <w:bottom w:val="single" w:color="auto" w:sz="4" w:space="0"/>
              <w:right w:val="single" w:color="auto" w:sz="4" w:space="0"/>
            </w:tcBorders>
            <w:noWrap w:val="0"/>
            <w:vAlign w:val="center"/>
          </w:tcPr>
          <w:p w14:paraId="6470FDB9">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2128" w:type="dxa"/>
            <w:tcBorders>
              <w:top w:val="single" w:color="auto" w:sz="4" w:space="0"/>
              <w:left w:val="single" w:color="auto" w:sz="4" w:space="0"/>
              <w:bottom w:val="single" w:color="auto" w:sz="4" w:space="0"/>
              <w:right w:val="single" w:color="auto" w:sz="4" w:space="0"/>
            </w:tcBorders>
            <w:noWrap w:val="0"/>
            <w:vAlign w:val="center"/>
          </w:tcPr>
          <w:p w14:paraId="7D47B15D">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正偏离、符合或负偏离</w:t>
            </w:r>
          </w:p>
        </w:tc>
      </w:tr>
      <w:tr w14:paraId="153D3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Borders>
              <w:top w:val="single" w:color="auto" w:sz="4" w:space="0"/>
              <w:left w:val="single" w:color="auto" w:sz="4" w:space="0"/>
              <w:bottom w:val="single" w:color="auto" w:sz="4" w:space="0"/>
              <w:right w:val="single" w:color="auto" w:sz="4" w:space="0"/>
            </w:tcBorders>
            <w:noWrap w:val="0"/>
            <w:vAlign w:val="top"/>
          </w:tcPr>
          <w:p w14:paraId="71B9AFF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63" w:type="dxa"/>
            <w:tcBorders>
              <w:top w:val="single" w:color="auto" w:sz="4" w:space="0"/>
              <w:left w:val="single" w:color="auto" w:sz="4" w:space="0"/>
              <w:bottom w:val="single" w:color="auto" w:sz="4" w:space="0"/>
              <w:right w:val="single" w:color="auto" w:sz="4" w:space="0"/>
            </w:tcBorders>
            <w:noWrap w:val="0"/>
            <w:vAlign w:val="top"/>
          </w:tcPr>
          <w:p w14:paraId="12ABC6F6">
            <w:pPr>
              <w:spacing w:line="400" w:lineRule="exact"/>
              <w:jc w:val="center"/>
              <w:rPr>
                <w:rFonts w:hint="eastAsia" w:ascii="宋体" w:hAnsi="宋体" w:eastAsia="宋体" w:cs="宋体"/>
                <w:color w:val="auto"/>
                <w:sz w:val="24"/>
                <w:szCs w:val="24"/>
                <w:highlight w:val="none"/>
              </w:rPr>
            </w:pPr>
          </w:p>
        </w:tc>
        <w:tc>
          <w:tcPr>
            <w:tcW w:w="3191" w:type="dxa"/>
            <w:tcBorders>
              <w:top w:val="single" w:color="auto" w:sz="4" w:space="0"/>
              <w:left w:val="single" w:color="auto" w:sz="4" w:space="0"/>
              <w:bottom w:val="single" w:color="auto" w:sz="4" w:space="0"/>
              <w:right w:val="single" w:color="auto" w:sz="4" w:space="0"/>
            </w:tcBorders>
            <w:noWrap w:val="0"/>
            <w:vAlign w:val="top"/>
          </w:tcPr>
          <w:p w14:paraId="3A953A69">
            <w:pPr>
              <w:spacing w:line="400" w:lineRule="exact"/>
              <w:jc w:val="center"/>
              <w:rPr>
                <w:rFonts w:hint="eastAsia" w:ascii="宋体" w:hAnsi="宋体" w:eastAsia="宋体" w:cs="宋体"/>
                <w:color w:val="auto"/>
                <w:sz w:val="24"/>
                <w:szCs w:val="24"/>
                <w:highlight w:val="none"/>
              </w:rPr>
            </w:pPr>
          </w:p>
        </w:tc>
        <w:tc>
          <w:tcPr>
            <w:tcW w:w="2128" w:type="dxa"/>
            <w:tcBorders>
              <w:top w:val="single" w:color="auto" w:sz="4" w:space="0"/>
              <w:left w:val="single" w:color="auto" w:sz="4" w:space="0"/>
              <w:bottom w:val="single" w:color="auto" w:sz="4" w:space="0"/>
              <w:right w:val="single" w:color="auto" w:sz="4" w:space="0"/>
            </w:tcBorders>
            <w:noWrap w:val="0"/>
            <w:vAlign w:val="top"/>
          </w:tcPr>
          <w:p w14:paraId="41643657">
            <w:pPr>
              <w:spacing w:line="400" w:lineRule="exact"/>
              <w:jc w:val="center"/>
              <w:rPr>
                <w:rFonts w:hint="eastAsia" w:ascii="宋体" w:hAnsi="宋体" w:eastAsia="宋体" w:cs="宋体"/>
                <w:color w:val="auto"/>
                <w:sz w:val="24"/>
                <w:szCs w:val="24"/>
                <w:highlight w:val="none"/>
              </w:rPr>
            </w:pPr>
          </w:p>
        </w:tc>
      </w:tr>
      <w:tr w14:paraId="52A34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Borders>
              <w:top w:val="single" w:color="auto" w:sz="4" w:space="0"/>
              <w:left w:val="single" w:color="auto" w:sz="4" w:space="0"/>
              <w:bottom w:val="single" w:color="auto" w:sz="4" w:space="0"/>
              <w:right w:val="single" w:color="auto" w:sz="4" w:space="0"/>
            </w:tcBorders>
            <w:noWrap w:val="0"/>
            <w:vAlign w:val="top"/>
          </w:tcPr>
          <w:p w14:paraId="7B2A0AB5">
            <w:pPr>
              <w:spacing w:line="400" w:lineRule="exact"/>
              <w:jc w:val="center"/>
              <w:rPr>
                <w:rFonts w:hint="eastAsia" w:ascii="宋体" w:hAnsi="宋体" w:eastAsia="宋体" w:cs="宋体"/>
                <w:color w:val="auto"/>
                <w:sz w:val="24"/>
                <w:szCs w:val="24"/>
                <w:highlight w:val="none"/>
              </w:rPr>
            </w:pPr>
          </w:p>
        </w:tc>
        <w:tc>
          <w:tcPr>
            <w:tcW w:w="3063" w:type="dxa"/>
            <w:tcBorders>
              <w:top w:val="single" w:color="auto" w:sz="4" w:space="0"/>
              <w:left w:val="single" w:color="auto" w:sz="4" w:space="0"/>
              <w:bottom w:val="single" w:color="auto" w:sz="4" w:space="0"/>
              <w:right w:val="single" w:color="auto" w:sz="4" w:space="0"/>
            </w:tcBorders>
            <w:noWrap w:val="0"/>
            <w:vAlign w:val="top"/>
          </w:tcPr>
          <w:p w14:paraId="20FEBDB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191" w:type="dxa"/>
            <w:tcBorders>
              <w:top w:val="single" w:color="auto" w:sz="4" w:space="0"/>
              <w:left w:val="single" w:color="auto" w:sz="4" w:space="0"/>
              <w:bottom w:val="single" w:color="auto" w:sz="4" w:space="0"/>
              <w:right w:val="single" w:color="auto" w:sz="4" w:space="0"/>
            </w:tcBorders>
            <w:noWrap w:val="0"/>
            <w:vAlign w:val="top"/>
          </w:tcPr>
          <w:p w14:paraId="59A02095">
            <w:pPr>
              <w:spacing w:line="400" w:lineRule="exact"/>
              <w:jc w:val="center"/>
              <w:rPr>
                <w:rFonts w:hint="eastAsia" w:ascii="宋体" w:hAnsi="宋体" w:eastAsia="宋体" w:cs="宋体"/>
                <w:color w:val="auto"/>
                <w:sz w:val="24"/>
                <w:szCs w:val="24"/>
                <w:highlight w:val="none"/>
              </w:rPr>
            </w:pPr>
          </w:p>
        </w:tc>
        <w:tc>
          <w:tcPr>
            <w:tcW w:w="2128" w:type="dxa"/>
            <w:tcBorders>
              <w:top w:val="single" w:color="auto" w:sz="4" w:space="0"/>
              <w:left w:val="single" w:color="auto" w:sz="4" w:space="0"/>
              <w:bottom w:val="single" w:color="auto" w:sz="4" w:space="0"/>
              <w:right w:val="single" w:color="auto" w:sz="4" w:space="0"/>
            </w:tcBorders>
            <w:noWrap w:val="0"/>
            <w:vAlign w:val="top"/>
          </w:tcPr>
          <w:p w14:paraId="587FF4F4">
            <w:pPr>
              <w:spacing w:line="400" w:lineRule="exact"/>
              <w:jc w:val="center"/>
              <w:rPr>
                <w:rFonts w:hint="eastAsia" w:ascii="宋体" w:hAnsi="宋体" w:eastAsia="宋体" w:cs="宋体"/>
                <w:color w:val="auto"/>
                <w:sz w:val="24"/>
                <w:szCs w:val="24"/>
                <w:highlight w:val="none"/>
              </w:rPr>
            </w:pPr>
          </w:p>
        </w:tc>
      </w:tr>
    </w:tbl>
    <w:p w14:paraId="307B4E0B">
      <w:pPr>
        <w:pBdr>
          <w:top w:val="none" w:color="000000" w:sz="0" w:space="0"/>
          <w:left w:val="none" w:color="000000" w:sz="0" w:space="0"/>
          <w:bottom w:val="none" w:color="000000" w:sz="0" w:space="0"/>
          <w:right w:val="none" w:color="000000" w:sz="0" w:space="0"/>
        </w:pBdr>
        <w:shd w:val="clear"/>
        <w:spacing w:before="0" w:after="0"/>
        <w:ind w:left="0" w:right="0" w:firstLine="0"/>
        <w:jc w:val="both"/>
        <w:rPr>
          <w:rFonts w:ascii="宋体" w:hAnsi="宋体" w:eastAsia="宋体" w:cs="宋体"/>
          <w:color w:val="000000" w:themeColor="text1"/>
          <w:sz w:val="24"/>
          <w:highlight w:val="none"/>
          <w14:textFill>
            <w14:solidFill>
              <w14:schemeClr w14:val="tx1"/>
            </w14:solidFill>
          </w14:textFill>
        </w:rPr>
      </w:pPr>
    </w:p>
    <w:p w14:paraId="18F6C821">
      <w:pPr>
        <w:shd w:val="clear" w:color="auto" w:fill="auto"/>
        <w:spacing w:line="40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p>
    <w:p w14:paraId="0AE15D70">
      <w:pPr>
        <w:shd w:val="clear" w:color="auto" w:fill="auto"/>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如投标人对技术要求（未加斜体下划线的非实质性要求）无任何偏离，投标人仅需在本偏离表中填写“无偏离”即可。当本表为空时，视为投标文件对</w:t>
      </w:r>
      <w:r>
        <w:rPr>
          <w:rFonts w:hint="eastAsia" w:ascii="宋体" w:hAnsi="宋体" w:eastAsia="宋体" w:cs="Times New Roman"/>
          <w:color w:val="auto"/>
          <w:sz w:val="24"/>
          <w:szCs w:val="24"/>
          <w:highlight w:val="none"/>
          <w:lang w:val="en-US" w:eastAsia="zh-CN"/>
        </w:rPr>
        <w:t>技术要求</w:t>
      </w:r>
      <w:r>
        <w:rPr>
          <w:rFonts w:hint="eastAsia" w:ascii="宋体" w:hAnsi="宋体" w:eastAsia="宋体" w:cs="Times New Roman"/>
          <w:color w:val="auto"/>
          <w:sz w:val="24"/>
          <w:szCs w:val="24"/>
          <w:highlight w:val="none"/>
        </w:rPr>
        <w:t>（未加斜体下划线的非实质性要求）全部满足，无偏离。</w:t>
      </w:r>
    </w:p>
    <w:p w14:paraId="67BD3519">
      <w:pPr>
        <w:shd w:val="clear" w:color="auto" w:fill="auto"/>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如对</w:t>
      </w:r>
      <w:r>
        <w:rPr>
          <w:rFonts w:hint="eastAsia" w:ascii="宋体" w:hAnsi="宋体" w:eastAsia="宋体" w:cs="Times New Roman"/>
          <w:color w:val="auto"/>
          <w:sz w:val="24"/>
          <w:szCs w:val="24"/>
          <w:highlight w:val="none"/>
          <w:lang w:val="en-US" w:eastAsia="zh-CN"/>
        </w:rPr>
        <w:t>技术要求</w:t>
      </w:r>
      <w:r>
        <w:rPr>
          <w:rFonts w:hint="eastAsia" w:ascii="宋体" w:hAnsi="宋体" w:eastAsia="宋体" w:cs="Times New Roman"/>
          <w:color w:val="auto"/>
          <w:sz w:val="24"/>
          <w:szCs w:val="24"/>
          <w:highlight w:val="none"/>
        </w:rPr>
        <w:t>（未加斜体下划线的非实质性要求）存在偏离，投标人需逐条做出说明。</w:t>
      </w:r>
    </w:p>
    <w:p w14:paraId="31294D22">
      <w:pPr>
        <w:pBdr>
          <w:top w:val="none" w:color="000000" w:sz="0" w:space="0"/>
          <w:left w:val="none" w:color="000000" w:sz="0" w:space="0"/>
          <w:bottom w:val="none" w:color="000000" w:sz="0" w:space="0"/>
          <w:right w:val="none" w:color="000000" w:sz="0" w:space="0"/>
        </w:pBdr>
        <w:shd w:val="clear"/>
        <w:spacing w:before="0" w:after="0"/>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14:paraId="217574D8">
      <w:pPr>
        <w:pBdr>
          <w:top w:val="none" w:color="000000" w:sz="0" w:space="0"/>
          <w:left w:val="none" w:color="000000" w:sz="0" w:space="0"/>
          <w:bottom w:val="none" w:color="000000" w:sz="0" w:space="0"/>
          <w:right w:val="none" w:color="000000" w:sz="0" w:space="0"/>
        </w:pBdr>
        <w:shd w:val="clear"/>
        <w:spacing w:before="0" w:after="0"/>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14:paraId="7DA382AD">
      <w:pPr>
        <w:pBdr>
          <w:top w:val="none" w:color="000000" w:sz="0" w:space="0"/>
          <w:left w:val="none" w:color="000000" w:sz="0" w:space="0"/>
          <w:bottom w:val="none" w:color="000000" w:sz="0" w:space="0"/>
          <w:right w:val="none" w:color="000000" w:sz="0" w:space="0"/>
        </w:pBdr>
        <w:shd w:val="clear"/>
        <w:spacing w:before="0" w:after="0"/>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14:paraId="5C43BFB8">
      <w:pPr>
        <w:pBdr>
          <w:top w:val="none" w:color="000000" w:sz="0" w:space="0"/>
          <w:left w:val="none" w:color="000000" w:sz="0" w:space="0"/>
          <w:bottom w:val="none" w:color="000000" w:sz="0" w:space="0"/>
          <w:right w:val="none" w:color="000000" w:sz="0" w:space="0"/>
        </w:pBdr>
        <w:shd w:val="clear"/>
        <w:spacing w:before="0" w:after="0"/>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14:paraId="6F799592">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3E0B3487">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7DFD15B3">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07155D53">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265C8E40">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740B8CE8">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71068314">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3CF4AADD">
      <w:pPr>
        <w:shd w:val="clear"/>
        <w:rPr>
          <w:rFonts w:ascii="黑体" w:hAnsi="黑体" w:eastAsia="黑体" w:cs="黑体"/>
          <w:b/>
          <w:color w:val="000000" w:themeColor="text1"/>
          <w:sz w:val="32"/>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br w:type="page" w:clear="all"/>
      </w:r>
    </w:p>
    <w:p w14:paraId="54AD35A7">
      <w:pPr>
        <w:pBdr>
          <w:top w:val="none" w:color="000000" w:sz="0" w:space="0"/>
          <w:left w:val="none" w:color="000000" w:sz="0" w:space="0"/>
          <w:bottom w:val="none" w:color="000000" w:sz="0" w:space="0"/>
          <w:right w:val="none" w:color="000000" w:sz="0" w:space="0"/>
        </w:pBdr>
        <w:shd w:val="clear"/>
        <w:spacing w:before="0" w:after="0"/>
        <w:ind w:left="0" w:right="0" w:firstLine="0"/>
        <w:jc w:val="center"/>
        <w:rPr>
          <w:rFonts w:hint="eastAsia" w:ascii="黑体" w:hAnsi="黑体" w:eastAsia="黑体" w:cs="黑体"/>
          <w:b/>
          <w:color w:val="000000" w:themeColor="text1"/>
          <w:sz w:val="32"/>
          <w:highlight w:val="none"/>
          <w14:textFill>
            <w14:solidFill>
              <w14:schemeClr w14:val="tx1"/>
            </w14:solidFill>
          </w14:textFill>
        </w:rPr>
      </w:pPr>
      <w:bookmarkStart w:id="180" w:name="_Toc22869"/>
      <w:r>
        <w:rPr>
          <w:rFonts w:hint="eastAsia" w:ascii="黑体" w:hAnsi="黑体" w:eastAsia="黑体" w:cs="黑体"/>
          <w:b/>
          <w:color w:val="000000" w:themeColor="text1"/>
          <w:sz w:val="32"/>
          <w:highlight w:val="none"/>
          <w:lang w:val="en-US" w:eastAsia="zh-CN"/>
          <w14:textFill>
            <w14:solidFill>
              <w14:schemeClr w14:val="tx1"/>
            </w14:solidFill>
          </w14:textFill>
        </w:rPr>
        <w:t>十三、中小企业声明函</w:t>
      </w:r>
      <w:bookmarkEnd w:id="180"/>
    </w:p>
    <w:p w14:paraId="5E2A7584">
      <w:pPr>
        <w:pStyle w:val="609"/>
        <w:keepNext w:val="0"/>
        <w:keepLines w:val="0"/>
        <w:pageBreakBefore w:val="0"/>
        <w:widowControl/>
        <w:shd w:val="clear"/>
        <w:spacing w:line="360" w:lineRule="auto"/>
        <w:outlineLvl w:val="9"/>
        <w:rPr>
          <w:rStyle w:val="652"/>
          <w:rFonts w:ascii="宋体" w:hAnsi="宋体" w:eastAsia="宋体" w:cs="宋体"/>
          <w:color w:val="000000" w:themeColor="text1"/>
          <w:sz w:val="32"/>
          <w:szCs w:val="32"/>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 </w:t>
      </w:r>
    </w:p>
    <w:p w14:paraId="4773B304">
      <w:pPr>
        <w:pBdr>
          <w:top w:val="none" w:color="000000" w:sz="0" w:space="0"/>
          <w:left w:val="none" w:color="000000" w:sz="0" w:space="0"/>
          <w:bottom w:val="none" w:color="000000" w:sz="0" w:space="0"/>
          <w:right w:val="none" w:color="000000" w:sz="0" w:space="0"/>
        </w:pBdr>
        <w:shd w:val="clear"/>
        <w:spacing w:line="460" w:lineRule="atLeast"/>
        <w:jc w:val="center"/>
        <w:rPr>
          <w:rFonts w:ascii="宋体" w:hAnsi="宋体" w:cs="宋体"/>
          <w:b/>
          <w:color w:val="000000" w:themeColor="text1"/>
          <w:sz w:val="32"/>
          <w:szCs w:val="18"/>
          <w:highlight w:val="none"/>
          <w14:textFill>
            <w14:solidFill>
              <w14:schemeClr w14:val="tx1"/>
            </w14:solidFill>
          </w14:textFill>
        </w:rPr>
      </w:pPr>
      <w:r>
        <w:rPr>
          <w:rFonts w:hint="eastAsia" w:ascii="宋体" w:hAnsi="宋体" w:cs="宋体"/>
          <w:b/>
          <w:color w:val="000000" w:themeColor="text1"/>
          <w:sz w:val="32"/>
          <w:szCs w:val="18"/>
          <w:highlight w:val="none"/>
          <w14:textFill>
            <w14:solidFill>
              <w14:schemeClr w14:val="tx1"/>
            </w14:solidFill>
          </w14:textFill>
        </w:rPr>
        <w:t>中小企业声明函</w:t>
      </w:r>
    </w:p>
    <w:p w14:paraId="733BFF55">
      <w:pPr>
        <w:pStyle w:val="508"/>
        <w:widowControl/>
        <w:shd w:val="clear"/>
        <w:spacing w:line="360" w:lineRule="auto"/>
        <w:rPr>
          <w:rFonts w:ascii="Times New Roman" w:hAnsi="Times New Roman" w:eastAsia="宋体"/>
          <w:color w:val="000000" w:themeColor="text1"/>
          <w:sz w:val="24"/>
          <w:szCs w:val="24"/>
          <w:highlight w:val="none"/>
          <w14:textFill>
            <w14:solidFill>
              <w14:schemeClr w14:val="tx1"/>
            </w14:solidFill>
          </w14:textFill>
        </w:rPr>
      </w:pPr>
    </w:p>
    <w:p w14:paraId="1EA93D7F">
      <w:pPr>
        <w:widowControl/>
        <w:shd w:val="clea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本公司郑重声明，根据《政府采购促进中小企业发展管理办法》（财库[2020]46号）的规定，本公司参加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（项目名称）</w:t>
      </w:r>
      <w:r>
        <w:rPr>
          <w:rFonts w:hint="eastAsia" w:ascii="宋体" w:hAnsi="宋体" w:eastAsia="宋体" w:cs="宋体"/>
          <w:color w:val="000000" w:themeColor="text1"/>
          <w:sz w:val="21"/>
          <w:szCs w:val="21"/>
          <w:highlight w:val="none"/>
          <w14:textFill>
            <w14:solidFill>
              <w14:schemeClr w14:val="tx1"/>
            </w14:solidFill>
          </w14:textFill>
        </w:rPr>
        <w:t>采购活动，服务全部由符合政策要求的中小企业承接。相关企业的具体情况如下：</w:t>
      </w:r>
    </w:p>
    <w:p w14:paraId="0B71F1AB">
      <w:pPr>
        <w:widowControl/>
        <w:shd w:val="clear"/>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（项目名称）</w:t>
      </w:r>
      <w:r>
        <w:rPr>
          <w:rFonts w:hint="eastAsia" w:ascii="宋体" w:hAnsi="宋体" w:eastAsia="宋体" w:cs="宋体"/>
          <w:color w:val="000000" w:themeColor="text1"/>
          <w:sz w:val="21"/>
          <w:szCs w:val="21"/>
          <w:highlight w:val="none"/>
          <w14:textFill>
            <w14:solidFill>
              <w14:schemeClr w14:val="tx1"/>
            </w14:solidFill>
          </w14:textFill>
        </w:rPr>
        <w:t>，属于</w:t>
      </w:r>
      <w:r>
        <w:rPr>
          <w:rFonts w:hint="eastAsia" w:ascii="宋体" w:hAnsi="宋体" w:eastAsia="宋体" w:cs="宋体"/>
          <w:color w:val="000000" w:themeColor="text1"/>
          <w:sz w:val="21"/>
          <w:szCs w:val="21"/>
          <w:highlight w:val="none"/>
          <w:u w:val="single"/>
          <w14:textFill>
            <w14:solidFill>
              <w14:schemeClr w14:val="tx1"/>
            </w14:solidFill>
          </w14:textFill>
        </w:rPr>
        <w:t>其他未列明行业</w:t>
      </w:r>
      <w:r>
        <w:rPr>
          <w:rFonts w:hint="eastAsia" w:ascii="宋体" w:hAnsi="宋体" w:eastAsia="宋体" w:cs="宋体"/>
          <w:color w:val="000000" w:themeColor="text1"/>
          <w:sz w:val="21"/>
          <w:szCs w:val="21"/>
          <w:highlight w:val="none"/>
          <w14:textFill>
            <w14:solidFill>
              <w14:schemeClr w14:val="tx1"/>
            </w14:solidFill>
          </w14:textFill>
        </w:rPr>
        <w:t>；承接企业为</w:t>
      </w:r>
      <w:r>
        <w:rPr>
          <w:rFonts w:hint="eastAsia" w:ascii="宋体" w:hAnsi="宋体" w:eastAsia="宋体" w:cs="宋体"/>
          <w:color w:val="000000" w:themeColor="text1"/>
          <w:sz w:val="21"/>
          <w:szCs w:val="21"/>
          <w:highlight w:val="none"/>
          <w:u w:val="single"/>
          <w14:textFill>
            <w14:solidFill>
              <w14:schemeClr w14:val="tx1"/>
            </w14:solidFill>
          </w14:textFill>
        </w:rPr>
        <w:t>（企业名称）</w:t>
      </w:r>
      <w:r>
        <w:rPr>
          <w:rFonts w:hint="eastAsia" w:ascii="宋体" w:hAnsi="宋体" w:eastAsia="宋体" w:cs="宋体"/>
          <w:color w:val="000000" w:themeColor="text1"/>
          <w:sz w:val="21"/>
          <w:szCs w:val="21"/>
          <w:highlight w:val="none"/>
          <w14:textFill>
            <w14:solidFill>
              <w14:schemeClr w14:val="tx1"/>
            </w14:solidFill>
          </w14:textFill>
        </w:rPr>
        <w:t>，从业人员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万元，属于</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w:t>
      </w:r>
    </w:p>
    <w:p w14:paraId="485EBD2A">
      <w:pPr>
        <w:widowControl/>
        <w:shd w:val="clear"/>
        <w:spacing w:line="360" w:lineRule="auto"/>
        <w:ind w:firstLine="482"/>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以上企业，不属于大企业的分支机构，不存在控股股东为大企业的情形，也不存在与大企业的负责人为同一人的情形。</w:t>
      </w:r>
    </w:p>
    <w:p w14:paraId="551CD817">
      <w:pPr>
        <w:widowControl/>
        <w:shd w:val="clea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本企业对上述声明内容的真实性负责。如有虚假，将依法承担相应责任。</w:t>
      </w:r>
    </w:p>
    <w:p w14:paraId="22B8EC02">
      <w:pPr>
        <w:pStyle w:val="609"/>
        <w:keepNext w:val="0"/>
        <w:keepLines w:val="0"/>
        <w:pageBreakBefore w:val="0"/>
        <w:widowControl/>
        <w:shd w:val="clear"/>
        <w:spacing w:line="360" w:lineRule="auto"/>
        <w:outlineLvl w:val="9"/>
        <w:rPr>
          <w:rStyle w:val="652"/>
          <w:rFonts w:ascii="宋体" w:hAnsi="宋体" w:eastAsia="宋体" w:cs="宋体"/>
          <w:color w:val="000000" w:themeColor="text1"/>
          <w:highlight w:val="none"/>
          <w14:textFill>
            <w14:solidFill>
              <w14:schemeClr w14:val="tx1"/>
            </w14:solidFill>
          </w14:textFill>
        </w:rPr>
      </w:pPr>
    </w:p>
    <w:p w14:paraId="65B1B515">
      <w:pPr>
        <w:pStyle w:val="609"/>
        <w:keepNext w:val="0"/>
        <w:keepLines w:val="0"/>
        <w:pageBreakBefore w:val="0"/>
        <w:widowControl/>
        <w:shd w:val="clear"/>
        <w:spacing w:line="360" w:lineRule="auto"/>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企业名称（盖章）：   </w:t>
      </w:r>
    </w:p>
    <w:p w14:paraId="63779515">
      <w:pPr>
        <w:pStyle w:val="609"/>
        <w:keepNext w:val="0"/>
        <w:keepLines w:val="0"/>
        <w:pageBreakBefore w:val="0"/>
        <w:widowControl/>
        <w:shd w:val="clear"/>
        <w:spacing w:line="360" w:lineRule="auto"/>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日期：   </w:t>
      </w:r>
    </w:p>
    <w:p w14:paraId="3E4753EF">
      <w:pPr>
        <w:pStyle w:val="609"/>
        <w:keepNext w:val="0"/>
        <w:keepLines w:val="0"/>
        <w:pageBreakBefore w:val="0"/>
        <w:widowControl/>
        <w:shd w:val="clear"/>
        <w:spacing w:line="360" w:lineRule="auto"/>
        <w:outlineLvl w:val="9"/>
        <w:rPr>
          <w:rStyle w:val="652"/>
          <w:rFonts w:ascii="宋体" w:hAnsi="宋体" w:eastAsia="宋体" w:cs="宋体"/>
          <w:color w:val="000000" w:themeColor="text1"/>
          <w:highlight w:val="none"/>
          <w14:textFill>
            <w14:solidFill>
              <w14:schemeClr w14:val="tx1"/>
            </w14:solidFill>
          </w14:textFill>
        </w:rPr>
      </w:pPr>
    </w:p>
    <w:p w14:paraId="0520F1F4">
      <w:pPr>
        <w:pStyle w:val="609"/>
        <w:keepNext w:val="0"/>
        <w:keepLines w:val="0"/>
        <w:shd w:val="clear"/>
        <w:spacing w:before="240" w:after="240"/>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注：供应商对照《关于印发中小企业划型标准规定的通知》（工信部联企业【2011】300号）中的标准，明确标的承接企业所属企业类型。</w:t>
      </w:r>
    </w:p>
    <w:p w14:paraId="5AB18C3C">
      <w:pPr>
        <w:pStyle w:val="609"/>
        <w:keepNext w:val="0"/>
        <w:keepLines w:val="0"/>
        <w:pageBreakBefore w:val="0"/>
        <w:widowControl/>
        <w:shd w:val="clear"/>
        <w:outlineLvl w:val="9"/>
        <w:rPr>
          <w:rStyle w:val="652"/>
          <w:rFonts w:ascii="宋体" w:hAnsi="宋体" w:eastAsia="宋体" w:cs="宋体"/>
          <w:color w:val="000000" w:themeColor="text1"/>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备注：</w:t>
      </w:r>
    </w:p>
    <w:p w14:paraId="0081B6CE">
      <w:pPr>
        <w:pStyle w:val="609"/>
        <w:keepNext w:val="0"/>
        <w:keepLines w:val="0"/>
        <w:pageBreakBefore w:val="0"/>
        <w:widowControl/>
        <w:shd w:val="clear"/>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1.从业人员、营业收入、资产总额填报上一年度数据，无上一年度数据的新成立企业可不填报。</w:t>
      </w:r>
    </w:p>
    <w:p w14:paraId="0C809591">
      <w:pPr>
        <w:pStyle w:val="609"/>
        <w:keepNext w:val="0"/>
        <w:keepLines w:val="0"/>
        <w:pageBreakBefore w:val="0"/>
        <w:widowControl/>
        <w:shd w:val="clear"/>
        <w:outlineLvl w:val="9"/>
        <w:rPr>
          <w:rStyle w:val="652"/>
          <w:rFonts w:ascii="宋体" w:hAnsi="宋体" w:eastAsia="宋体" w:cs="宋体"/>
          <w:b w:val="0"/>
          <w:bCs w:val="0"/>
          <w:color w:val="000000" w:themeColor="text1"/>
          <w:highlight w:val="none"/>
          <w14:textFill>
            <w14:solidFill>
              <w14:schemeClr w14:val="tx1"/>
            </w14:solidFill>
          </w14:textFill>
        </w:rPr>
      </w:pPr>
      <w:r>
        <w:rPr>
          <w:rStyle w:val="652"/>
          <w:rFonts w:ascii="宋体" w:hAnsi="宋体" w:eastAsia="宋体" w:cs="宋体"/>
          <w:b w:val="0"/>
          <w:bCs w:val="0"/>
          <w:color w:val="000000" w:themeColor="text1"/>
          <w:highlight w:val="none"/>
          <w14:textFill>
            <w14:solidFill>
              <w14:schemeClr w14:val="tx1"/>
            </w14:solidFill>
          </w14:textFill>
        </w:rPr>
        <w:t>2.在服务采购项目中，服务由中小企业承接，即提供服务的人员为中小企业依照《中华人民共和国劳动合同法》订立劳动合同的从业人员。服务类项目中供应商若使用退休人员，将不享受相应扶持政策。</w:t>
      </w:r>
    </w:p>
    <w:p w14:paraId="2D6A2BC8">
      <w:pPr>
        <w:pStyle w:val="609"/>
        <w:keepNext w:val="0"/>
        <w:keepLines w:val="0"/>
        <w:pageBreakBefore w:val="0"/>
        <w:widowControl/>
        <w:shd w:val="clear"/>
        <w:outlineLvl w:val="9"/>
        <w:rPr>
          <w:rStyle w:val="652"/>
          <w:rFonts w:ascii="宋体" w:hAnsi="宋体" w:eastAsia="宋体" w:cs="宋体"/>
          <w:color w:val="000000" w:themeColor="text1"/>
          <w:highlight w:val="none"/>
          <w14:textFill>
            <w14:solidFill>
              <w14:schemeClr w14:val="tx1"/>
            </w14:solidFill>
          </w14:textFill>
        </w:rPr>
      </w:pPr>
      <w:r>
        <w:rPr>
          <w:rStyle w:val="652"/>
          <w:rFonts w:hint="eastAsia" w:ascii="宋体" w:hAnsi="宋体" w:eastAsia="宋体" w:cs="宋体"/>
          <w:color w:val="000000" w:themeColor="text1"/>
          <w:highlight w:val="none"/>
          <w:lang w:val="en-US" w:eastAsia="zh-CN"/>
          <w14:textFill>
            <w14:solidFill>
              <w14:schemeClr w14:val="tx1"/>
            </w14:solidFill>
          </w14:textFill>
        </w:rPr>
        <w:t>3.</w:t>
      </w:r>
      <w:r>
        <w:rPr>
          <w:rStyle w:val="652"/>
          <w:rFonts w:ascii="宋体" w:hAnsi="宋体" w:eastAsia="宋体" w:cs="宋体"/>
          <w:color w:val="000000" w:themeColor="text1"/>
          <w:highlight w:val="none"/>
          <w14:textFill>
            <w14:solidFill>
              <w14:schemeClr w14:val="tx1"/>
            </w14:solidFill>
          </w14:textFill>
        </w:rPr>
        <w:t>附：中小企业划型标准规定</w:t>
      </w:r>
    </w:p>
    <w:p w14:paraId="0D549CAE">
      <w:pPr>
        <w:pStyle w:val="609"/>
        <w:keepNext w:val="0"/>
        <w:keepLines w:val="0"/>
        <w:pageBreakBefore w:val="0"/>
        <w:widowControl/>
        <w:shd w:val="clear"/>
        <w:outlineLvl w:val="9"/>
        <w:rPr>
          <w:rStyle w:val="652"/>
          <w:rFonts w:ascii="宋体" w:hAnsi="宋体" w:eastAsia="宋体" w:cs="宋体"/>
          <w:color w:val="000000" w:themeColor="text1"/>
          <w:highlight w:val="none"/>
          <w14:textFill>
            <w14:solidFill>
              <w14:schemeClr w14:val="tx1"/>
            </w14:solidFill>
          </w14:textFill>
        </w:rPr>
      </w:pPr>
      <w:r>
        <w:rPr>
          <w:rStyle w:val="652"/>
          <w:rFonts w:hint="default" w:ascii="宋体" w:hAnsi="宋体" w:eastAsia="宋体" w:cs="宋体"/>
          <w:color w:val="000000" w:themeColor="text1"/>
          <w:highlight w:val="none"/>
          <w14:textFill>
            <w14:solidFill>
              <w14:schemeClr w14:val="tx1"/>
            </w14:solidFill>
          </w14:textFill>
        </w:rPr>
        <w:t>其他未列明行业。从业人员300人以下的为中小微型企业。其中，从业人员100人及以上的为中型企业；从业人员10人及以上的为小型企业；从业人员10人以下的为微型企业。</w:t>
      </w:r>
      <w:r>
        <w:rPr>
          <w:rStyle w:val="652"/>
          <w:rFonts w:ascii="宋体" w:hAnsi="宋体" w:eastAsia="宋体" w:cs="宋体"/>
          <w:color w:val="000000" w:themeColor="text1"/>
          <w:highlight w:val="none"/>
          <w:lang w:val="en-US" w:eastAsia="zh-CN"/>
          <w14:textFill>
            <w14:solidFill>
              <w14:schemeClr w14:val="tx1"/>
            </w14:solidFill>
          </w14:textFill>
        </w:rPr>
        <w:t xml:space="preserve"> </w:t>
      </w:r>
    </w:p>
    <w:p w14:paraId="52FD1820">
      <w:pPr>
        <w:pStyle w:val="609"/>
        <w:keepNext w:val="0"/>
        <w:keepLines w:val="0"/>
        <w:pageBreakBefore w:val="0"/>
        <w:widowControl/>
        <w:shd w:val="clear"/>
        <w:rPr>
          <w:rStyle w:val="652"/>
          <w:rFonts w:ascii="宋体" w:hAnsi="宋体" w:eastAsia="宋体" w:cs="宋体"/>
          <w:color w:val="000000" w:themeColor="text1"/>
          <w:highlight w:val="none"/>
          <w14:textFill>
            <w14:solidFill>
              <w14:schemeClr w14:val="tx1"/>
            </w14:solidFill>
          </w14:textFill>
        </w:rPr>
      </w:pPr>
    </w:p>
    <w:p w14:paraId="43FCC4CE">
      <w:pPr>
        <w:pStyle w:val="609"/>
        <w:keepNext w:val="0"/>
        <w:keepLines w:val="0"/>
        <w:pageBreakBefore w:val="0"/>
        <w:widowControl/>
        <w:shd w:val="clear"/>
        <w:rPr>
          <w:rStyle w:val="652"/>
          <w:rFonts w:ascii="宋体" w:hAnsi="宋体" w:eastAsia="宋体" w:cs="宋体"/>
          <w:color w:val="000000" w:themeColor="text1"/>
          <w:highlight w:val="none"/>
          <w14:textFill>
            <w14:solidFill>
              <w14:schemeClr w14:val="tx1"/>
            </w14:solidFill>
          </w14:textFill>
        </w:rPr>
      </w:pPr>
    </w:p>
    <w:p w14:paraId="66DE0DF4">
      <w:pPr>
        <w:pStyle w:val="609"/>
        <w:keepNext w:val="0"/>
        <w:keepLines w:val="0"/>
        <w:pageBreakBefore w:val="0"/>
        <w:widowControl/>
        <w:shd w:val="clear"/>
        <w:rPr>
          <w:rStyle w:val="652"/>
          <w:rFonts w:ascii="宋体" w:hAnsi="宋体" w:eastAsia="宋体" w:cs="宋体"/>
          <w:color w:val="000000" w:themeColor="text1"/>
          <w:highlight w:val="none"/>
          <w14:textFill>
            <w14:solidFill>
              <w14:schemeClr w14:val="tx1"/>
            </w14:solidFill>
          </w14:textFill>
        </w:rPr>
      </w:pPr>
    </w:p>
    <w:p w14:paraId="1F2008EA">
      <w:pPr>
        <w:pStyle w:val="609"/>
        <w:keepNext w:val="0"/>
        <w:keepLines w:val="0"/>
        <w:pageBreakBefore w:val="0"/>
        <w:widowControl/>
        <w:shd w:val="clear"/>
        <w:rPr>
          <w:rStyle w:val="652"/>
          <w:rFonts w:ascii="宋体" w:hAnsi="宋体" w:eastAsia="宋体" w:cs="宋体"/>
          <w:color w:val="000000" w:themeColor="text1"/>
          <w:highlight w:val="none"/>
          <w14:textFill>
            <w14:solidFill>
              <w14:schemeClr w14:val="tx1"/>
            </w14:solidFill>
          </w14:textFill>
        </w:rPr>
      </w:pPr>
    </w:p>
    <w:p w14:paraId="2107A55D">
      <w:pPr>
        <w:shd w:val="clear"/>
        <w:rPr>
          <w:rFonts w:hint="eastAsia" w:ascii="黑体" w:hAnsi="黑体" w:eastAsia="黑体" w:cs="黑体"/>
          <w:b/>
          <w:color w:val="000000" w:themeColor="text1"/>
          <w:sz w:val="32"/>
          <w:highlight w:val="none"/>
          <w14:textFill>
            <w14:solidFill>
              <w14:schemeClr w14:val="tx1"/>
            </w14:solidFill>
          </w14:textFill>
        </w:rPr>
      </w:pPr>
      <w:bookmarkStart w:id="181" w:name="_Toc12549"/>
      <w:r>
        <w:rPr>
          <w:rFonts w:hint="eastAsia" w:ascii="黑体" w:hAnsi="黑体" w:eastAsia="黑体" w:cs="黑体"/>
          <w:b/>
          <w:color w:val="000000" w:themeColor="text1"/>
          <w:sz w:val="32"/>
          <w:highlight w:val="none"/>
          <w:lang w:val="en-US" w:eastAsia="zh-CN"/>
          <w14:textFill>
            <w14:solidFill>
              <w14:schemeClr w14:val="tx1"/>
            </w14:solidFill>
          </w14:textFill>
        </w:rPr>
        <w:br w:type="page" w:clear="all"/>
      </w:r>
    </w:p>
    <w:p w14:paraId="14AA9E23">
      <w:pPr>
        <w:pBdr>
          <w:top w:val="none" w:color="000000" w:sz="0" w:space="0"/>
          <w:left w:val="none" w:color="000000" w:sz="0" w:space="0"/>
          <w:bottom w:val="none" w:color="000000" w:sz="0" w:space="0"/>
          <w:right w:val="none" w:color="000000" w:sz="0" w:space="0"/>
        </w:pBdr>
        <w:shd w:val="clear"/>
        <w:spacing w:before="0" w:after="0"/>
        <w:ind w:left="0" w:right="0" w:firstLine="0"/>
        <w:jc w:val="center"/>
        <w:rPr>
          <w:rFonts w:hint="eastAsia" w:ascii="黑体" w:hAnsi="黑体" w:eastAsia="黑体" w:cs="黑体"/>
          <w:b/>
          <w:color w:val="000000" w:themeColor="text1"/>
          <w:sz w:val="32"/>
          <w:highlight w:val="none"/>
          <w14:textFill>
            <w14:solidFill>
              <w14:schemeClr w14:val="tx1"/>
            </w14:solidFill>
          </w14:textFill>
        </w:rPr>
      </w:pPr>
      <w:r>
        <w:rPr>
          <w:rFonts w:hint="eastAsia" w:ascii="黑体" w:hAnsi="黑体" w:eastAsia="黑体" w:cs="黑体"/>
          <w:b/>
          <w:color w:val="000000" w:themeColor="text1"/>
          <w:sz w:val="32"/>
          <w:highlight w:val="none"/>
          <w:lang w:val="en-US" w:eastAsia="zh-CN"/>
          <w14:textFill>
            <w14:solidFill>
              <w14:schemeClr w14:val="tx1"/>
            </w14:solidFill>
          </w14:textFill>
        </w:rPr>
        <w:t>残疾人福利性单位声明函</w:t>
      </w:r>
      <w:bookmarkEnd w:id="181"/>
    </w:p>
    <w:p w14:paraId="5820DC59">
      <w:pPr>
        <w:pStyle w:val="611"/>
        <w:keepNext w:val="0"/>
        <w:keepLines w:val="0"/>
        <w:pageBreakBefore w:val="0"/>
        <w:widowControl/>
        <w:shd w:val="clear"/>
        <w:spacing w:line="360" w:lineRule="auto"/>
        <w:ind w:firstLine="420"/>
        <w:outlineLvl w:val="9"/>
        <w:rPr>
          <w:rStyle w:val="652"/>
          <w:rFonts w:ascii="宋体" w:hAnsi="宋体" w:eastAsia="宋体" w:cs="宋体"/>
          <w:color w:val="000000" w:themeColor="text1"/>
          <w:highlight w:val="none"/>
          <w14:textFill>
            <w14:solidFill>
              <w14:schemeClr w14:val="tx1"/>
            </w14:solidFill>
          </w14:textFill>
        </w:rPr>
      </w:pPr>
    </w:p>
    <w:p w14:paraId="51455140">
      <w:pPr>
        <w:pStyle w:val="611"/>
        <w:keepNext w:val="0"/>
        <w:keepLines w:val="0"/>
        <w:pageBreakBefore w:val="0"/>
        <w:widowControl/>
        <w:shd w:val="clear"/>
        <w:spacing w:line="360" w:lineRule="auto"/>
        <w:ind w:firstLine="420"/>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Style w:val="652"/>
          <w:rFonts w:ascii="宋体" w:hAnsi="宋体" w:eastAsia="宋体" w:cs="宋体"/>
          <w:color w:val="000000" w:themeColor="text1"/>
          <w:highlight w:val="none"/>
          <w:u w:val="single"/>
          <w14:textFill>
            <w14:solidFill>
              <w14:schemeClr w14:val="tx1"/>
            </w14:solidFill>
          </w14:textFill>
        </w:rPr>
        <w:t>   </w:t>
      </w:r>
      <w:r>
        <w:rPr>
          <w:rStyle w:val="652"/>
          <w:rFonts w:ascii="宋体" w:hAnsi="宋体" w:eastAsia="宋体" w:cs="宋体"/>
          <w:color w:val="000000" w:themeColor="text1"/>
          <w:highlight w:val="none"/>
          <w14:textFill>
            <w14:solidFill>
              <w14:schemeClr w14:val="tx1"/>
            </w14:solidFill>
          </w14:textFill>
        </w:rPr>
        <w:t>单位的</w:t>
      </w:r>
      <w:r>
        <w:rPr>
          <w:rStyle w:val="652"/>
          <w:rFonts w:ascii="宋体" w:hAnsi="宋体" w:eastAsia="宋体" w:cs="宋体"/>
          <w:color w:val="000000" w:themeColor="text1"/>
          <w:highlight w:val="none"/>
          <w:u w:val="single"/>
          <w14:textFill>
            <w14:solidFill>
              <w14:schemeClr w14:val="tx1"/>
            </w14:solidFill>
          </w14:textFill>
        </w:rPr>
        <w:t>   </w:t>
      </w:r>
      <w:r>
        <w:rPr>
          <w:rStyle w:val="652"/>
          <w:rFonts w:ascii="宋体" w:hAnsi="宋体" w:eastAsia="宋体" w:cs="宋体"/>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 </w:t>
      </w:r>
    </w:p>
    <w:p w14:paraId="54F404F0">
      <w:pPr>
        <w:pStyle w:val="611"/>
        <w:keepNext w:val="0"/>
        <w:keepLines w:val="0"/>
        <w:pageBreakBefore w:val="0"/>
        <w:widowControl/>
        <w:shd w:val="clear"/>
        <w:spacing w:line="360" w:lineRule="auto"/>
        <w:ind w:firstLine="420"/>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本单位对上述声明的真实性负责。如有虚假，将依法承担相应责任。</w:t>
      </w:r>
    </w:p>
    <w:p w14:paraId="1BBDA427">
      <w:pPr>
        <w:pStyle w:val="611"/>
        <w:keepNext w:val="0"/>
        <w:keepLines w:val="0"/>
        <w:pageBreakBefore w:val="0"/>
        <w:widowControl/>
        <w:shd w:val="clear"/>
        <w:spacing w:line="360" w:lineRule="auto"/>
        <w:jc w:val="center"/>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 </w:t>
      </w:r>
    </w:p>
    <w:p w14:paraId="609424D5">
      <w:pPr>
        <w:pStyle w:val="611"/>
        <w:keepNext w:val="0"/>
        <w:keepLines w:val="0"/>
        <w:shd w:val="clear"/>
        <w:spacing w:before="240" w:after="240"/>
        <w:jc w:val="both"/>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单位名称（盖章）：   </w:t>
      </w:r>
    </w:p>
    <w:p w14:paraId="1BF7A45B">
      <w:pPr>
        <w:pStyle w:val="611"/>
        <w:keepNext w:val="0"/>
        <w:keepLines w:val="0"/>
        <w:shd w:val="clear"/>
        <w:spacing w:before="240" w:after="240"/>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日期：   </w:t>
      </w:r>
    </w:p>
    <w:p w14:paraId="3B081C45">
      <w:pPr>
        <w:pStyle w:val="611"/>
        <w:keepNext w:val="0"/>
        <w:keepLines w:val="0"/>
        <w:shd w:val="clear"/>
        <w:spacing w:before="240" w:after="240"/>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注：1、符合《关于促进残疾人就业政府采购政策的通知》（财库〔2017〕141号）规定条件的残疾人福利性单位在参加政府采购活动时，应当提供《残疾人福利性单位声明函》，并对声明的真实性负责。</w:t>
      </w:r>
    </w:p>
    <w:p w14:paraId="52839998">
      <w:pPr>
        <w:pStyle w:val="611"/>
        <w:keepNext w:val="0"/>
        <w:keepLines w:val="0"/>
        <w:shd w:val="clear"/>
        <w:spacing w:before="240" w:after="240"/>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供应商提供的《残疾人福利性单位声明函》与事实不符的，依照《政府采购法》第七十七条第一款的规定追究法律责任。</w:t>
      </w:r>
    </w:p>
    <w:p w14:paraId="1B74A584">
      <w:pPr>
        <w:pStyle w:val="611"/>
        <w:keepNext w:val="0"/>
        <w:keepLines w:val="0"/>
        <w:shd w:val="clear"/>
        <w:spacing w:before="240" w:after="240"/>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中标、成交供应商为残疾人福利性单位的，采购人或者其委托的采购代理机构应当随中标、成交结果同时公告其《残疾人福利性单位声明函》，接受社会监督。</w:t>
      </w:r>
    </w:p>
    <w:p w14:paraId="3A3A57E7">
      <w:pPr>
        <w:pStyle w:val="611"/>
        <w:keepNext w:val="0"/>
        <w:keepLines w:val="0"/>
        <w:shd w:val="clear"/>
        <w:spacing w:before="240" w:after="240"/>
        <w:outlineLvl w:val="9"/>
        <w:rPr>
          <w:rStyle w:val="652"/>
          <w:rFonts w:ascii="宋体" w:hAnsi="宋体" w:eastAsia="宋体" w:cs="宋体"/>
          <w:color w:val="000000" w:themeColor="text1"/>
          <w:sz w:val="24"/>
          <w:szCs w:val="24"/>
          <w:highlight w:val="none"/>
          <w14:textFill>
            <w14:solidFill>
              <w14:schemeClr w14:val="tx1"/>
            </w14:solidFill>
          </w14:textFill>
        </w:rPr>
      </w:pPr>
      <w:r>
        <w:rPr>
          <w:rStyle w:val="652"/>
          <w:rFonts w:ascii="宋体" w:hAnsi="宋体" w:eastAsia="宋体" w:cs="宋体"/>
          <w:color w:val="000000" w:themeColor="text1"/>
          <w:highlight w:val="none"/>
          <w14:textFill>
            <w14:solidFill>
              <w14:schemeClr w14:val="tx1"/>
            </w14:solidFill>
          </w14:textFill>
        </w:rPr>
        <w:t>2、若供应商对照《关于促进残疾人就业政府采购政策的通知》（财库〔2017〕141号）中的规定，</w:t>
      </w:r>
      <w:r>
        <w:rPr>
          <w:rStyle w:val="652"/>
          <w:rFonts w:ascii="宋体" w:hAnsi="宋体" w:eastAsia="宋体" w:cs="宋体"/>
          <w:b/>
          <w:bCs/>
          <w:color w:val="000000" w:themeColor="text1"/>
          <w:highlight w:val="none"/>
          <w14:textFill>
            <w14:solidFill>
              <w14:schemeClr w14:val="tx1"/>
            </w14:solidFill>
          </w14:textFill>
        </w:rPr>
        <w:t>明确不符合残疾人福利性单位条件的，则无需提供此声明函。</w:t>
      </w:r>
      <w:r>
        <w:rPr>
          <w:rStyle w:val="652"/>
          <w:rFonts w:ascii="宋体" w:hAnsi="宋体" w:eastAsia="宋体" w:cs="宋体"/>
          <w:color w:val="000000" w:themeColor="text1"/>
          <w:highlight w:val="none"/>
          <w14:textFill>
            <w14:solidFill>
              <w14:schemeClr w14:val="tx1"/>
            </w14:solidFill>
          </w14:textFill>
        </w:rPr>
        <w:t xml:space="preserve"> </w:t>
      </w:r>
    </w:p>
    <w:p w14:paraId="1033452B">
      <w:pPr>
        <w:pBdr>
          <w:top w:val="none" w:color="000000" w:sz="0" w:space="0"/>
          <w:left w:val="none" w:color="000000" w:sz="0" w:space="0"/>
          <w:bottom w:val="none" w:color="000000" w:sz="0" w:space="0"/>
          <w:right w:val="none" w:color="000000" w:sz="0" w:space="0"/>
        </w:pBdr>
        <w:shd w:val="clear"/>
        <w:spacing w:before="0" w:after="0"/>
        <w:ind w:left="0" w:right="0" w:firstLine="0"/>
        <w:jc w:val="center"/>
        <w:rPr>
          <w:rFonts w:hint="eastAsia" w:ascii="黑体" w:hAnsi="黑体" w:eastAsia="黑体" w:cs="黑体"/>
          <w:b/>
          <w:color w:val="000000" w:themeColor="text1"/>
          <w:sz w:val="32"/>
          <w:highlight w:val="none"/>
          <w14:textFill>
            <w14:solidFill>
              <w14:schemeClr w14:val="tx1"/>
            </w14:solidFill>
          </w14:textFill>
        </w:rPr>
      </w:pPr>
      <w:bookmarkStart w:id="182" w:name="_Toc1029"/>
    </w:p>
    <w:p w14:paraId="582791BB">
      <w:pPr>
        <w:pBdr>
          <w:top w:val="none" w:color="000000" w:sz="0" w:space="0"/>
          <w:left w:val="none" w:color="000000" w:sz="0" w:space="0"/>
          <w:bottom w:val="none" w:color="000000" w:sz="0" w:space="0"/>
          <w:right w:val="none" w:color="000000" w:sz="0" w:space="0"/>
        </w:pBdr>
        <w:shd w:val="clear"/>
        <w:spacing w:before="0" w:after="0"/>
        <w:ind w:left="0" w:right="0" w:firstLine="0"/>
        <w:jc w:val="center"/>
        <w:rPr>
          <w:rFonts w:hint="eastAsia" w:ascii="黑体" w:hAnsi="黑体" w:eastAsia="黑体" w:cs="黑体"/>
          <w:b/>
          <w:color w:val="000000" w:themeColor="text1"/>
          <w:sz w:val="32"/>
          <w:highlight w:val="none"/>
          <w14:textFill>
            <w14:solidFill>
              <w14:schemeClr w14:val="tx1"/>
            </w14:solidFill>
          </w14:textFill>
        </w:rPr>
      </w:pPr>
      <w:r>
        <w:rPr>
          <w:rFonts w:hint="eastAsia" w:ascii="黑体" w:hAnsi="黑体" w:eastAsia="黑体" w:cs="黑体"/>
          <w:b/>
          <w:color w:val="000000" w:themeColor="text1"/>
          <w:sz w:val="32"/>
          <w:highlight w:val="none"/>
          <w:lang w:val="en-US" w:eastAsia="zh-CN"/>
          <w14:textFill>
            <w14:solidFill>
              <w14:schemeClr w14:val="tx1"/>
            </w14:solidFill>
          </w14:textFill>
        </w:rPr>
        <w:t>监狱企业的证明文件</w:t>
      </w:r>
      <w:bookmarkEnd w:id="182"/>
    </w:p>
    <w:p w14:paraId="19B8DD49">
      <w:pPr>
        <w:pStyle w:val="613"/>
        <w:keepNext w:val="0"/>
        <w:keepLines w:val="0"/>
        <w:shd w:val="clear"/>
        <w:jc w:val="center"/>
        <w:outlineLvl w:val="9"/>
        <w:rPr>
          <w:rStyle w:val="652"/>
          <w:rFonts w:hint="eastAsia" w:ascii="Calibri" w:hAnsi="Calibri" w:eastAsia="宋体" w:cs="Times New Roman"/>
          <w:color w:val="000000" w:themeColor="text1"/>
          <w:sz w:val="32"/>
          <w:szCs w:val="32"/>
          <w:highlight w:val="none"/>
          <w14:textFill>
            <w14:solidFill>
              <w14:schemeClr w14:val="tx1"/>
            </w14:solidFill>
          </w14:textFill>
        </w:rPr>
      </w:pPr>
    </w:p>
    <w:p w14:paraId="0D73EA2E">
      <w:pPr>
        <w:pStyle w:val="611"/>
        <w:keepNext w:val="0"/>
        <w:keepLines w:val="0"/>
        <w:pageBreakBefore w:val="0"/>
        <w:widowControl/>
        <w:shd w:val="clear"/>
        <w:spacing w:line="360" w:lineRule="auto"/>
        <w:ind w:firstLine="420"/>
        <w:outlineLvl w:val="9"/>
        <w:rPr>
          <w:rStyle w:val="652"/>
          <w:rFonts w:hint="eastAsia" w:ascii="宋体" w:hAnsi="宋体" w:eastAsia="宋体" w:cs="宋体"/>
          <w:color w:val="000000" w:themeColor="text1"/>
          <w:highlight w:val="none"/>
          <w14:textFill>
            <w14:solidFill>
              <w14:schemeClr w14:val="tx1"/>
            </w14:solidFill>
          </w14:textFill>
        </w:rPr>
      </w:pPr>
      <w:r>
        <w:rPr>
          <w:rStyle w:val="652"/>
          <w:rFonts w:hint="eastAsia" w:ascii="宋体" w:hAnsi="宋体" w:eastAsia="宋体" w:cs="宋体"/>
          <w:color w:val="000000" w:themeColor="text1"/>
          <w:highlight w:val="none"/>
          <w14:textFill>
            <w14:solidFill>
              <w14:schemeClr w14:val="tx1"/>
            </w14:solidFill>
          </w14:textFill>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    </w:t>
      </w:r>
    </w:p>
    <w:p w14:paraId="1C8E4EA1">
      <w:pPr>
        <w:pStyle w:val="611"/>
        <w:keepNext w:val="0"/>
        <w:keepLines w:val="0"/>
        <w:pageBreakBefore w:val="0"/>
        <w:widowControl/>
        <w:shd w:val="clear"/>
        <w:spacing w:line="360" w:lineRule="auto"/>
        <w:ind w:firstLine="420"/>
        <w:outlineLvl w:val="9"/>
        <w:rPr>
          <w:rStyle w:val="652"/>
          <w:rFonts w:hint="eastAsia" w:ascii="宋体" w:hAnsi="宋体" w:eastAsia="宋体" w:cs="宋体"/>
          <w:color w:val="000000" w:themeColor="text1"/>
          <w:sz w:val="24"/>
          <w:szCs w:val="24"/>
          <w:highlight w:val="none"/>
          <w14:textFill>
            <w14:solidFill>
              <w14:schemeClr w14:val="tx1"/>
            </w14:solidFill>
          </w14:textFill>
        </w:rPr>
      </w:pPr>
      <w:r>
        <w:rPr>
          <w:rStyle w:val="652"/>
          <w:rFonts w:hint="eastAsia" w:ascii="宋体" w:hAnsi="宋体" w:eastAsia="宋体" w:cs="宋体"/>
          <w:color w:val="000000" w:themeColor="text1"/>
          <w:highlight w:val="none"/>
          <w14:textFill>
            <w14:solidFill>
              <w14:schemeClr w14:val="tx1"/>
            </w14:solidFill>
          </w14:textFill>
        </w:rPr>
        <w:t>2、若供应商对照《关于政府采购支持监狱企业发展有关问题的通知》（财库〔2014〕68号）中的规定，</w:t>
      </w:r>
      <w:r>
        <w:rPr>
          <w:rStyle w:val="652"/>
          <w:rFonts w:hint="eastAsia" w:ascii="宋体" w:hAnsi="宋体" w:eastAsia="宋体" w:cs="宋体"/>
          <w:b/>
          <w:bCs/>
          <w:color w:val="000000" w:themeColor="text1"/>
          <w:highlight w:val="none"/>
          <w14:textFill>
            <w14:solidFill>
              <w14:schemeClr w14:val="tx1"/>
            </w14:solidFill>
          </w14:textFill>
        </w:rPr>
        <w:t>明确不符合监狱企业条件的，则无需提供相关证明文件。</w:t>
      </w:r>
      <w:r>
        <w:rPr>
          <w:rStyle w:val="652"/>
          <w:rFonts w:hint="eastAsia" w:ascii="宋体" w:hAnsi="宋体" w:eastAsia="宋体" w:cs="宋体"/>
          <w:color w:val="000000" w:themeColor="text1"/>
          <w:sz w:val="24"/>
          <w:szCs w:val="24"/>
          <w:highlight w:val="none"/>
          <w14:textFill>
            <w14:solidFill>
              <w14:schemeClr w14:val="tx1"/>
            </w14:solidFill>
          </w14:textFill>
        </w:rPr>
        <w:br w:type="page" w:clear="all"/>
      </w:r>
    </w:p>
    <w:p w14:paraId="4EE71251">
      <w:pPr>
        <w:pBdr>
          <w:top w:val="none" w:color="000000" w:sz="0" w:space="0"/>
          <w:left w:val="none" w:color="000000" w:sz="0" w:space="0"/>
          <w:bottom w:val="none" w:color="000000" w:sz="0" w:space="0"/>
          <w:right w:val="none" w:color="000000" w:sz="0" w:space="0"/>
        </w:pBdr>
        <w:shd w:val="clear"/>
        <w:spacing w:before="0" w:after="0"/>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十</w:t>
      </w:r>
      <w:r>
        <w:rPr>
          <w:rFonts w:hint="eastAsia" w:ascii="黑体" w:hAnsi="黑体" w:eastAsia="黑体" w:cs="黑体"/>
          <w:b/>
          <w:color w:val="000000" w:themeColor="text1"/>
          <w:sz w:val="32"/>
          <w:highlight w:val="none"/>
          <w:lang w:val="en-US" w:eastAsia="zh-CN"/>
          <w14:textFill>
            <w14:solidFill>
              <w14:schemeClr w14:val="tx1"/>
            </w14:solidFill>
          </w14:textFill>
        </w:rPr>
        <w:t>四</w:t>
      </w:r>
      <w:r>
        <w:rPr>
          <w:rFonts w:ascii="黑体" w:hAnsi="黑体" w:eastAsia="黑体" w:cs="黑体"/>
          <w:b/>
          <w:color w:val="000000" w:themeColor="text1"/>
          <w:sz w:val="32"/>
          <w:highlight w:val="none"/>
          <w14:textFill>
            <w14:solidFill>
              <w14:schemeClr w14:val="tx1"/>
            </w14:solidFill>
          </w14:textFill>
        </w:rPr>
        <w:t>、</w:t>
      </w:r>
      <w:r>
        <w:rPr>
          <w:rFonts w:hint="eastAsia" w:ascii="黑体" w:hAnsi="黑体" w:eastAsia="黑体" w:cs="黑体"/>
          <w:b/>
          <w:color w:val="000000" w:themeColor="text1"/>
          <w:sz w:val="32"/>
          <w:highlight w:val="none"/>
          <w:lang w:val="en-US" w:eastAsia="zh-CN"/>
          <w14:textFill>
            <w14:solidFill>
              <w14:schemeClr w14:val="tx1"/>
            </w14:solidFill>
          </w14:textFill>
        </w:rPr>
        <w:t>技术方案、</w:t>
      </w:r>
      <w:r>
        <w:rPr>
          <w:rFonts w:ascii="黑体" w:hAnsi="黑体" w:eastAsia="黑体" w:cs="黑体"/>
          <w:b/>
          <w:color w:val="000000" w:themeColor="text1"/>
          <w:sz w:val="32"/>
          <w:highlight w:val="none"/>
          <w14:textFill>
            <w14:solidFill>
              <w14:schemeClr w14:val="tx1"/>
            </w14:solidFill>
          </w14:textFill>
        </w:rPr>
        <w:t>服务方案</w:t>
      </w:r>
    </w:p>
    <w:p w14:paraId="32BECC04">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1"/>
          <w:highlight w:val="none"/>
          <w14:textFill>
            <w14:solidFill>
              <w14:schemeClr w14:val="tx1"/>
            </w14:solidFill>
          </w14:textFill>
        </w:rPr>
        <w:t> </w:t>
      </w:r>
    </w:p>
    <w:p w14:paraId="4678AD38">
      <w:pPr>
        <w:pBdr>
          <w:top w:val="none" w:color="000000" w:sz="0" w:space="0"/>
          <w:left w:val="none" w:color="000000" w:sz="0" w:space="0"/>
          <w:bottom w:val="none" w:color="000000" w:sz="0" w:space="0"/>
          <w:right w:val="none" w:color="000000" w:sz="0" w:space="0"/>
        </w:pBdr>
        <w:shd w:val="clea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（服务方案的内容编排等由投标人自定）</w:t>
      </w:r>
    </w:p>
    <w:p w14:paraId="509166B3">
      <w:pPr>
        <w:pBdr>
          <w:top w:val="none" w:color="000000" w:sz="0" w:space="0"/>
          <w:left w:val="none" w:color="000000" w:sz="0" w:space="0"/>
          <w:bottom w:val="none" w:color="000000" w:sz="0" w:space="0"/>
          <w:right w:val="none" w:color="000000" w:sz="0" w:space="0"/>
        </w:pBdr>
        <w:shd w:val="clear"/>
        <w:spacing w:before="0" w:after="0" w:line="43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73A376C4">
      <w:pPr>
        <w:pBdr>
          <w:top w:val="none" w:color="000000" w:sz="0" w:space="0"/>
          <w:left w:val="none" w:color="000000" w:sz="0" w:space="0"/>
          <w:bottom w:val="none" w:color="000000" w:sz="0" w:space="0"/>
          <w:right w:val="none" w:color="000000" w:sz="0" w:space="0"/>
        </w:pBdr>
        <w:shd w:val="clear"/>
        <w:spacing w:before="0" w:after="0"/>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ascii="黑体" w:hAnsi="黑体" w:eastAsia="黑体" w:cs="黑体"/>
          <w:b/>
          <w:color w:val="000000" w:themeColor="text1"/>
          <w:sz w:val="32"/>
          <w:highlight w:val="none"/>
          <w14:textFill>
            <w14:solidFill>
              <w14:schemeClr w14:val="tx1"/>
            </w14:solidFill>
          </w14:textFill>
        </w:rPr>
        <w:t>十</w:t>
      </w:r>
      <w:r>
        <w:rPr>
          <w:rFonts w:hint="eastAsia" w:ascii="黑体" w:hAnsi="黑体" w:eastAsia="黑体" w:cs="黑体"/>
          <w:b/>
          <w:color w:val="000000" w:themeColor="text1"/>
          <w:sz w:val="32"/>
          <w:highlight w:val="none"/>
          <w:lang w:val="en-US" w:eastAsia="zh-CN"/>
          <w14:textFill>
            <w14:solidFill>
              <w14:schemeClr w14:val="tx1"/>
            </w14:solidFill>
          </w14:textFill>
        </w:rPr>
        <w:t>五</w:t>
      </w:r>
      <w:r>
        <w:rPr>
          <w:rFonts w:ascii="黑体" w:hAnsi="黑体" w:eastAsia="黑体" w:cs="黑体"/>
          <w:b/>
          <w:color w:val="000000" w:themeColor="text1"/>
          <w:sz w:val="32"/>
          <w:highlight w:val="none"/>
          <w14:textFill>
            <w14:solidFill>
              <w14:schemeClr w14:val="tx1"/>
            </w14:solidFill>
          </w14:textFill>
        </w:rPr>
        <w:t>、投标人情况介绍</w:t>
      </w:r>
    </w:p>
    <w:p w14:paraId="53408986">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6A3B189E">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6F2C971D">
      <w:pPr>
        <w:pBdr>
          <w:top w:val="none" w:color="000000" w:sz="0" w:space="0"/>
          <w:left w:val="none" w:color="000000" w:sz="0" w:space="0"/>
          <w:bottom w:val="none" w:color="000000" w:sz="0" w:space="0"/>
          <w:right w:val="none" w:color="000000" w:sz="0" w:space="0"/>
        </w:pBdr>
        <w:shd w:val="clear"/>
        <w:ind w:firstLine="964"/>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1、</w:t>
      </w:r>
      <w:r>
        <w:rPr>
          <w:rFonts w:ascii="宋体" w:hAnsi="宋体" w:cs="宋体"/>
          <w:b/>
          <w:bCs/>
          <w:color w:val="000000" w:themeColor="text1"/>
          <w:sz w:val="24"/>
          <w:highlight w:val="none"/>
          <w14:textFill>
            <w14:solidFill>
              <w14:schemeClr w14:val="tx1"/>
            </w14:solidFill>
          </w14:textFill>
        </w:rPr>
        <w:t>项目负责人及其他人员介绍</w:t>
      </w:r>
    </w:p>
    <w:tbl>
      <w:tblPr>
        <w:tblStyle w:val="36"/>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
        <w:gridCol w:w="917"/>
        <w:gridCol w:w="521"/>
        <w:gridCol w:w="466"/>
        <w:gridCol w:w="1069"/>
        <w:gridCol w:w="1140"/>
        <w:gridCol w:w="1238"/>
        <w:gridCol w:w="2642"/>
        <w:gridCol w:w="1524"/>
      </w:tblGrid>
      <w:tr w14:paraId="40746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479" w:type="dxa"/>
            <w:vMerge w:val="restart"/>
            <w:noWrap w:val="0"/>
            <w:vAlign w:val="center"/>
          </w:tcPr>
          <w:p w14:paraId="79941DDB">
            <w:pPr>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序号</w:t>
            </w:r>
          </w:p>
        </w:tc>
        <w:tc>
          <w:tcPr>
            <w:tcW w:w="917" w:type="dxa"/>
            <w:vMerge w:val="restart"/>
            <w:noWrap w:val="0"/>
            <w:vAlign w:val="center"/>
          </w:tcPr>
          <w:p w14:paraId="7B258176">
            <w:pPr>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姓名</w:t>
            </w:r>
          </w:p>
        </w:tc>
        <w:tc>
          <w:tcPr>
            <w:tcW w:w="521" w:type="dxa"/>
            <w:vMerge w:val="restart"/>
            <w:noWrap w:val="0"/>
            <w:vAlign w:val="center"/>
          </w:tcPr>
          <w:p w14:paraId="1F547A6B">
            <w:pPr>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性别</w:t>
            </w:r>
          </w:p>
        </w:tc>
        <w:tc>
          <w:tcPr>
            <w:tcW w:w="466" w:type="dxa"/>
            <w:vMerge w:val="restart"/>
            <w:noWrap w:val="0"/>
            <w:vAlign w:val="center"/>
          </w:tcPr>
          <w:p w14:paraId="164AC758">
            <w:pPr>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年龄</w:t>
            </w:r>
          </w:p>
        </w:tc>
        <w:tc>
          <w:tcPr>
            <w:tcW w:w="1069" w:type="dxa"/>
            <w:vMerge w:val="restart"/>
            <w:noWrap w:val="0"/>
            <w:vAlign w:val="center"/>
          </w:tcPr>
          <w:p w14:paraId="7EE3082E">
            <w:pPr>
              <w:spacing w:line="360" w:lineRule="auto"/>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sz w:val="24"/>
                <w:szCs w:val="32"/>
                <w:highlight w:val="none"/>
                <w:lang w:val="en-US" w:eastAsia="zh-CN"/>
              </w:rPr>
              <w:t>职称</w:t>
            </w:r>
          </w:p>
        </w:tc>
        <w:tc>
          <w:tcPr>
            <w:tcW w:w="1140" w:type="dxa"/>
            <w:vMerge w:val="restart"/>
            <w:noWrap w:val="0"/>
            <w:vAlign w:val="center"/>
          </w:tcPr>
          <w:p w14:paraId="4B5EC6C4">
            <w:pPr>
              <w:spacing w:line="360" w:lineRule="auto"/>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sz w:val="24"/>
                <w:highlight w:val="none"/>
                <w:lang w:val="en-US" w:eastAsia="zh-CN"/>
              </w:rPr>
              <w:t>专业</w:t>
            </w:r>
          </w:p>
        </w:tc>
        <w:tc>
          <w:tcPr>
            <w:tcW w:w="1238" w:type="dxa"/>
            <w:vMerge w:val="restart"/>
            <w:noWrap w:val="0"/>
            <w:vAlign w:val="center"/>
          </w:tcPr>
          <w:p w14:paraId="15C1615F">
            <w:pPr>
              <w:spacing w:line="360" w:lineRule="auto"/>
              <w:jc w:val="center"/>
              <w:rPr>
                <w:rFonts w:hint="default" w:ascii="Times New Roman" w:hAnsi="Times New Roman" w:cs="Times New Roman"/>
                <w:color w:val="auto"/>
                <w:highlight w:val="none"/>
              </w:rPr>
            </w:pPr>
            <w:r>
              <w:rPr>
                <w:rFonts w:hint="eastAsia" w:ascii="Times New Roman" w:hAnsi="Times New Roman" w:cs="Times New Roman"/>
                <w:color w:val="auto"/>
                <w:sz w:val="24"/>
                <w:highlight w:val="none"/>
                <w:lang w:val="en-US" w:eastAsia="zh-CN"/>
              </w:rPr>
              <w:t>资格证书</w:t>
            </w:r>
          </w:p>
        </w:tc>
        <w:tc>
          <w:tcPr>
            <w:tcW w:w="2642" w:type="dxa"/>
            <w:vMerge w:val="restart"/>
            <w:noWrap w:val="0"/>
            <w:vAlign w:val="center"/>
          </w:tcPr>
          <w:p w14:paraId="6984A357">
            <w:pPr>
              <w:spacing w:line="360" w:lineRule="auto"/>
              <w:jc w:val="center"/>
              <w:rPr>
                <w:rFonts w:hint="eastAsia" w:ascii="Times New Roman" w:hAnsi="Times New Roman" w:eastAsia="宋体" w:cs="Times New Roman"/>
                <w:color w:val="auto"/>
                <w:highlight w:val="none"/>
                <w:lang w:eastAsia="zh-CN"/>
              </w:rPr>
            </w:pPr>
            <w:r>
              <w:rPr>
                <w:rFonts w:hint="default" w:ascii="Times New Roman" w:hAnsi="Times New Roman" w:cs="Times New Roman"/>
                <w:color w:val="auto"/>
                <w:sz w:val="24"/>
                <w:highlight w:val="none"/>
              </w:rPr>
              <w:t>主要资历、经验及承担过的管理项目</w:t>
            </w:r>
          </w:p>
        </w:tc>
        <w:tc>
          <w:tcPr>
            <w:tcW w:w="1524" w:type="dxa"/>
            <w:vMerge w:val="restart"/>
            <w:noWrap w:val="0"/>
            <w:vAlign w:val="center"/>
          </w:tcPr>
          <w:p w14:paraId="51004F9A">
            <w:pPr>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本项目拟担任的职务</w:t>
            </w:r>
          </w:p>
        </w:tc>
      </w:tr>
      <w:tr w14:paraId="550D6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479" w:type="dxa"/>
            <w:vMerge w:val="continue"/>
            <w:noWrap w:val="0"/>
            <w:vAlign w:val="center"/>
          </w:tcPr>
          <w:p w14:paraId="7B7DF16D">
            <w:pPr>
              <w:spacing w:line="360" w:lineRule="auto"/>
              <w:jc w:val="center"/>
              <w:rPr>
                <w:rFonts w:hint="default" w:ascii="Times New Roman" w:hAnsi="Times New Roman" w:cs="Times New Roman"/>
                <w:color w:val="auto"/>
                <w:highlight w:val="none"/>
              </w:rPr>
            </w:pPr>
          </w:p>
        </w:tc>
        <w:tc>
          <w:tcPr>
            <w:tcW w:w="917" w:type="dxa"/>
            <w:vMerge w:val="continue"/>
            <w:noWrap w:val="0"/>
            <w:vAlign w:val="center"/>
          </w:tcPr>
          <w:p w14:paraId="5D0BB9C9">
            <w:pPr>
              <w:spacing w:line="360" w:lineRule="auto"/>
              <w:jc w:val="center"/>
              <w:rPr>
                <w:rFonts w:hint="default" w:ascii="Times New Roman" w:hAnsi="Times New Roman" w:cs="Times New Roman"/>
                <w:color w:val="auto"/>
                <w:highlight w:val="none"/>
              </w:rPr>
            </w:pPr>
          </w:p>
        </w:tc>
        <w:tc>
          <w:tcPr>
            <w:tcW w:w="521" w:type="dxa"/>
            <w:vMerge w:val="continue"/>
            <w:noWrap w:val="0"/>
            <w:vAlign w:val="center"/>
          </w:tcPr>
          <w:p w14:paraId="73EC6AA6">
            <w:pPr>
              <w:spacing w:line="360" w:lineRule="auto"/>
              <w:jc w:val="center"/>
              <w:rPr>
                <w:rFonts w:hint="default" w:ascii="Times New Roman" w:hAnsi="Times New Roman" w:cs="Times New Roman"/>
                <w:color w:val="auto"/>
                <w:highlight w:val="none"/>
              </w:rPr>
            </w:pPr>
          </w:p>
        </w:tc>
        <w:tc>
          <w:tcPr>
            <w:tcW w:w="466" w:type="dxa"/>
            <w:vMerge w:val="continue"/>
            <w:noWrap w:val="0"/>
            <w:vAlign w:val="center"/>
          </w:tcPr>
          <w:p w14:paraId="2DD8E624">
            <w:pPr>
              <w:spacing w:line="360" w:lineRule="auto"/>
              <w:jc w:val="center"/>
              <w:rPr>
                <w:rFonts w:hint="default" w:ascii="Times New Roman" w:hAnsi="Times New Roman" w:cs="Times New Roman"/>
                <w:color w:val="auto"/>
                <w:highlight w:val="none"/>
              </w:rPr>
            </w:pPr>
          </w:p>
        </w:tc>
        <w:tc>
          <w:tcPr>
            <w:tcW w:w="1069" w:type="dxa"/>
            <w:vMerge w:val="continue"/>
            <w:noWrap w:val="0"/>
            <w:vAlign w:val="center"/>
          </w:tcPr>
          <w:p w14:paraId="0A4D24E3">
            <w:pPr>
              <w:spacing w:line="360" w:lineRule="auto"/>
              <w:jc w:val="center"/>
              <w:rPr>
                <w:rFonts w:hint="default" w:ascii="Times New Roman" w:hAnsi="Times New Roman" w:cs="Times New Roman"/>
                <w:color w:val="auto"/>
                <w:highlight w:val="none"/>
              </w:rPr>
            </w:pPr>
          </w:p>
        </w:tc>
        <w:tc>
          <w:tcPr>
            <w:tcW w:w="1140" w:type="dxa"/>
            <w:vMerge w:val="continue"/>
            <w:noWrap w:val="0"/>
            <w:vAlign w:val="center"/>
          </w:tcPr>
          <w:p w14:paraId="0C7D4C41">
            <w:pPr>
              <w:spacing w:line="360" w:lineRule="auto"/>
              <w:jc w:val="center"/>
              <w:rPr>
                <w:rFonts w:hint="default" w:ascii="Times New Roman" w:hAnsi="Times New Roman" w:cs="Times New Roman"/>
                <w:color w:val="auto"/>
                <w:highlight w:val="none"/>
              </w:rPr>
            </w:pPr>
          </w:p>
        </w:tc>
        <w:tc>
          <w:tcPr>
            <w:tcW w:w="1238" w:type="dxa"/>
            <w:vMerge w:val="continue"/>
            <w:noWrap w:val="0"/>
            <w:vAlign w:val="center"/>
          </w:tcPr>
          <w:p w14:paraId="07909C3D">
            <w:pPr>
              <w:spacing w:line="360" w:lineRule="auto"/>
              <w:jc w:val="center"/>
              <w:rPr>
                <w:rFonts w:hint="default" w:ascii="Times New Roman" w:hAnsi="Times New Roman" w:cs="Times New Roman"/>
                <w:color w:val="auto"/>
                <w:highlight w:val="none"/>
              </w:rPr>
            </w:pPr>
          </w:p>
        </w:tc>
        <w:tc>
          <w:tcPr>
            <w:tcW w:w="2642" w:type="dxa"/>
            <w:vMerge w:val="continue"/>
            <w:noWrap w:val="0"/>
            <w:vAlign w:val="center"/>
          </w:tcPr>
          <w:p w14:paraId="450255B4">
            <w:pPr>
              <w:spacing w:line="360" w:lineRule="auto"/>
              <w:jc w:val="center"/>
              <w:rPr>
                <w:rFonts w:hint="default" w:ascii="Times New Roman" w:hAnsi="Times New Roman" w:cs="Times New Roman"/>
                <w:color w:val="auto"/>
                <w:highlight w:val="none"/>
              </w:rPr>
            </w:pPr>
          </w:p>
        </w:tc>
        <w:tc>
          <w:tcPr>
            <w:tcW w:w="1524" w:type="dxa"/>
            <w:vMerge w:val="continue"/>
            <w:noWrap w:val="0"/>
            <w:vAlign w:val="center"/>
          </w:tcPr>
          <w:p w14:paraId="693053C9">
            <w:pPr>
              <w:spacing w:line="360" w:lineRule="auto"/>
              <w:jc w:val="center"/>
              <w:rPr>
                <w:rFonts w:hint="default" w:ascii="Times New Roman" w:hAnsi="Times New Roman" w:cs="Times New Roman"/>
                <w:color w:val="auto"/>
                <w:highlight w:val="none"/>
              </w:rPr>
            </w:pPr>
          </w:p>
        </w:tc>
      </w:tr>
      <w:tr w14:paraId="0217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479" w:type="dxa"/>
            <w:noWrap w:val="0"/>
            <w:vAlign w:val="center"/>
          </w:tcPr>
          <w:p w14:paraId="25C121B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917" w:type="dxa"/>
            <w:noWrap w:val="0"/>
            <w:vAlign w:val="center"/>
          </w:tcPr>
          <w:p w14:paraId="7B0E6C9D">
            <w:pPr>
              <w:spacing w:line="360" w:lineRule="auto"/>
              <w:jc w:val="center"/>
              <w:rPr>
                <w:rFonts w:hint="eastAsia" w:ascii="宋体" w:hAnsi="宋体" w:eastAsia="宋体" w:cs="宋体"/>
                <w:color w:val="auto"/>
                <w:highlight w:val="none"/>
              </w:rPr>
            </w:pPr>
          </w:p>
        </w:tc>
        <w:tc>
          <w:tcPr>
            <w:tcW w:w="521" w:type="dxa"/>
            <w:noWrap w:val="0"/>
            <w:vAlign w:val="center"/>
          </w:tcPr>
          <w:p w14:paraId="3D5244CE">
            <w:pPr>
              <w:spacing w:line="360" w:lineRule="auto"/>
              <w:jc w:val="center"/>
              <w:rPr>
                <w:rFonts w:hint="default" w:ascii="Times New Roman" w:hAnsi="Times New Roman" w:cs="Times New Roman"/>
                <w:color w:val="auto"/>
                <w:highlight w:val="none"/>
              </w:rPr>
            </w:pPr>
          </w:p>
        </w:tc>
        <w:tc>
          <w:tcPr>
            <w:tcW w:w="466" w:type="dxa"/>
            <w:noWrap w:val="0"/>
            <w:vAlign w:val="center"/>
          </w:tcPr>
          <w:p w14:paraId="32D5978D">
            <w:pPr>
              <w:spacing w:line="360" w:lineRule="auto"/>
              <w:jc w:val="center"/>
              <w:rPr>
                <w:rFonts w:hint="default" w:ascii="Times New Roman" w:hAnsi="Times New Roman" w:cs="Times New Roman"/>
                <w:color w:val="auto"/>
                <w:highlight w:val="none"/>
              </w:rPr>
            </w:pPr>
          </w:p>
        </w:tc>
        <w:tc>
          <w:tcPr>
            <w:tcW w:w="1069" w:type="dxa"/>
            <w:noWrap w:val="0"/>
            <w:vAlign w:val="center"/>
          </w:tcPr>
          <w:p w14:paraId="682EAA27">
            <w:pPr>
              <w:spacing w:line="360" w:lineRule="auto"/>
              <w:jc w:val="center"/>
              <w:rPr>
                <w:rFonts w:hint="default" w:ascii="Times New Roman" w:hAnsi="Times New Roman" w:cs="Times New Roman"/>
                <w:color w:val="auto"/>
                <w:highlight w:val="none"/>
              </w:rPr>
            </w:pPr>
          </w:p>
        </w:tc>
        <w:tc>
          <w:tcPr>
            <w:tcW w:w="1140" w:type="dxa"/>
            <w:noWrap w:val="0"/>
            <w:vAlign w:val="center"/>
          </w:tcPr>
          <w:p w14:paraId="218BFFDB">
            <w:pPr>
              <w:spacing w:line="360" w:lineRule="auto"/>
              <w:jc w:val="center"/>
              <w:rPr>
                <w:rFonts w:hint="default" w:ascii="Times New Roman" w:hAnsi="Times New Roman" w:cs="Times New Roman"/>
                <w:color w:val="auto"/>
                <w:highlight w:val="none"/>
              </w:rPr>
            </w:pPr>
          </w:p>
        </w:tc>
        <w:tc>
          <w:tcPr>
            <w:tcW w:w="1238" w:type="dxa"/>
            <w:noWrap w:val="0"/>
            <w:vAlign w:val="center"/>
          </w:tcPr>
          <w:p w14:paraId="66222430">
            <w:pPr>
              <w:spacing w:line="360" w:lineRule="auto"/>
              <w:jc w:val="center"/>
              <w:rPr>
                <w:rFonts w:hint="default" w:ascii="Times New Roman" w:hAnsi="Times New Roman" w:cs="Times New Roman"/>
                <w:color w:val="auto"/>
                <w:highlight w:val="none"/>
              </w:rPr>
            </w:pPr>
          </w:p>
        </w:tc>
        <w:tc>
          <w:tcPr>
            <w:tcW w:w="2642" w:type="dxa"/>
            <w:noWrap w:val="0"/>
            <w:vAlign w:val="center"/>
          </w:tcPr>
          <w:p w14:paraId="047EE9D3">
            <w:pPr>
              <w:spacing w:line="360" w:lineRule="auto"/>
              <w:jc w:val="center"/>
              <w:rPr>
                <w:rFonts w:hint="default" w:ascii="Times New Roman" w:hAnsi="Times New Roman" w:cs="Times New Roman"/>
                <w:color w:val="auto"/>
                <w:highlight w:val="none"/>
              </w:rPr>
            </w:pPr>
          </w:p>
        </w:tc>
        <w:tc>
          <w:tcPr>
            <w:tcW w:w="1524" w:type="dxa"/>
            <w:noWrap w:val="0"/>
            <w:vAlign w:val="center"/>
          </w:tcPr>
          <w:p w14:paraId="7D179020">
            <w:pPr>
              <w:spacing w:line="360" w:lineRule="auto"/>
              <w:jc w:val="center"/>
              <w:rPr>
                <w:rFonts w:hint="default" w:ascii="Times New Roman" w:hAnsi="Times New Roman" w:cs="Times New Roman"/>
                <w:color w:val="auto"/>
                <w:highlight w:val="none"/>
              </w:rPr>
            </w:pPr>
          </w:p>
        </w:tc>
      </w:tr>
      <w:tr w14:paraId="5AB0A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479" w:type="dxa"/>
            <w:noWrap w:val="0"/>
            <w:vAlign w:val="center"/>
          </w:tcPr>
          <w:p w14:paraId="6A31296A">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917" w:type="dxa"/>
            <w:noWrap w:val="0"/>
            <w:vAlign w:val="center"/>
          </w:tcPr>
          <w:p w14:paraId="7CD9E14D">
            <w:pPr>
              <w:spacing w:line="360" w:lineRule="auto"/>
              <w:jc w:val="center"/>
              <w:rPr>
                <w:rFonts w:hint="eastAsia" w:ascii="宋体" w:hAnsi="宋体" w:eastAsia="宋体" w:cs="宋体"/>
                <w:color w:val="auto"/>
                <w:highlight w:val="none"/>
              </w:rPr>
            </w:pPr>
          </w:p>
        </w:tc>
        <w:tc>
          <w:tcPr>
            <w:tcW w:w="521" w:type="dxa"/>
            <w:noWrap w:val="0"/>
            <w:vAlign w:val="center"/>
          </w:tcPr>
          <w:p w14:paraId="2B5A76AA">
            <w:pPr>
              <w:spacing w:line="360" w:lineRule="auto"/>
              <w:jc w:val="center"/>
              <w:rPr>
                <w:rFonts w:hint="default" w:ascii="Times New Roman" w:hAnsi="Times New Roman" w:cs="Times New Roman"/>
                <w:color w:val="auto"/>
                <w:highlight w:val="none"/>
              </w:rPr>
            </w:pPr>
          </w:p>
        </w:tc>
        <w:tc>
          <w:tcPr>
            <w:tcW w:w="466" w:type="dxa"/>
            <w:noWrap w:val="0"/>
            <w:vAlign w:val="center"/>
          </w:tcPr>
          <w:p w14:paraId="7CA1B05E">
            <w:pPr>
              <w:spacing w:line="360" w:lineRule="auto"/>
              <w:jc w:val="center"/>
              <w:rPr>
                <w:rFonts w:hint="default" w:ascii="Times New Roman" w:hAnsi="Times New Roman" w:cs="Times New Roman"/>
                <w:color w:val="auto"/>
                <w:highlight w:val="none"/>
              </w:rPr>
            </w:pPr>
          </w:p>
        </w:tc>
        <w:tc>
          <w:tcPr>
            <w:tcW w:w="1069" w:type="dxa"/>
            <w:noWrap w:val="0"/>
            <w:vAlign w:val="center"/>
          </w:tcPr>
          <w:p w14:paraId="0A189DBB">
            <w:pPr>
              <w:spacing w:line="360" w:lineRule="auto"/>
              <w:jc w:val="center"/>
              <w:rPr>
                <w:rFonts w:hint="default" w:ascii="Times New Roman" w:hAnsi="Times New Roman" w:cs="Times New Roman"/>
                <w:color w:val="auto"/>
                <w:highlight w:val="none"/>
              </w:rPr>
            </w:pPr>
          </w:p>
        </w:tc>
        <w:tc>
          <w:tcPr>
            <w:tcW w:w="1140" w:type="dxa"/>
            <w:noWrap w:val="0"/>
            <w:vAlign w:val="center"/>
          </w:tcPr>
          <w:p w14:paraId="2466E637">
            <w:pPr>
              <w:spacing w:line="360" w:lineRule="auto"/>
              <w:jc w:val="center"/>
              <w:rPr>
                <w:rFonts w:hint="default" w:ascii="Times New Roman" w:hAnsi="Times New Roman" w:cs="Times New Roman"/>
                <w:color w:val="auto"/>
                <w:highlight w:val="none"/>
              </w:rPr>
            </w:pPr>
          </w:p>
        </w:tc>
        <w:tc>
          <w:tcPr>
            <w:tcW w:w="1238" w:type="dxa"/>
            <w:noWrap w:val="0"/>
            <w:vAlign w:val="center"/>
          </w:tcPr>
          <w:p w14:paraId="55C9A3B0">
            <w:pPr>
              <w:spacing w:line="360" w:lineRule="auto"/>
              <w:jc w:val="center"/>
              <w:rPr>
                <w:rFonts w:hint="default" w:ascii="Times New Roman" w:hAnsi="Times New Roman" w:cs="Times New Roman"/>
                <w:color w:val="auto"/>
                <w:highlight w:val="none"/>
              </w:rPr>
            </w:pPr>
          </w:p>
        </w:tc>
        <w:tc>
          <w:tcPr>
            <w:tcW w:w="2642" w:type="dxa"/>
            <w:noWrap w:val="0"/>
            <w:vAlign w:val="center"/>
          </w:tcPr>
          <w:p w14:paraId="1DEADAB0">
            <w:pPr>
              <w:spacing w:line="360" w:lineRule="auto"/>
              <w:jc w:val="center"/>
              <w:rPr>
                <w:rFonts w:hint="default" w:ascii="Times New Roman" w:hAnsi="Times New Roman" w:cs="Times New Roman"/>
                <w:color w:val="auto"/>
                <w:highlight w:val="none"/>
              </w:rPr>
            </w:pPr>
          </w:p>
        </w:tc>
        <w:tc>
          <w:tcPr>
            <w:tcW w:w="1524" w:type="dxa"/>
            <w:noWrap w:val="0"/>
            <w:vAlign w:val="center"/>
          </w:tcPr>
          <w:p w14:paraId="3B8B3077">
            <w:pPr>
              <w:spacing w:line="360" w:lineRule="auto"/>
              <w:jc w:val="center"/>
              <w:rPr>
                <w:rFonts w:hint="default" w:ascii="Times New Roman" w:hAnsi="Times New Roman" w:cs="Times New Roman"/>
                <w:color w:val="auto"/>
                <w:highlight w:val="none"/>
              </w:rPr>
            </w:pPr>
          </w:p>
        </w:tc>
      </w:tr>
      <w:tr w14:paraId="26653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479" w:type="dxa"/>
            <w:noWrap w:val="0"/>
            <w:vAlign w:val="center"/>
          </w:tcPr>
          <w:p w14:paraId="18305C5A">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917" w:type="dxa"/>
            <w:noWrap w:val="0"/>
            <w:vAlign w:val="center"/>
          </w:tcPr>
          <w:p w14:paraId="1B1F86FE">
            <w:pPr>
              <w:spacing w:line="360" w:lineRule="auto"/>
              <w:jc w:val="center"/>
              <w:rPr>
                <w:rFonts w:hint="eastAsia" w:ascii="宋体" w:hAnsi="宋体" w:eastAsia="宋体" w:cs="宋体"/>
                <w:color w:val="auto"/>
                <w:highlight w:val="none"/>
              </w:rPr>
            </w:pPr>
          </w:p>
        </w:tc>
        <w:tc>
          <w:tcPr>
            <w:tcW w:w="521" w:type="dxa"/>
            <w:noWrap w:val="0"/>
            <w:vAlign w:val="center"/>
          </w:tcPr>
          <w:p w14:paraId="092F827E">
            <w:pPr>
              <w:spacing w:line="360" w:lineRule="auto"/>
              <w:jc w:val="center"/>
              <w:rPr>
                <w:rFonts w:hint="default" w:ascii="Times New Roman" w:hAnsi="Times New Roman" w:cs="Times New Roman"/>
                <w:color w:val="auto"/>
                <w:highlight w:val="none"/>
              </w:rPr>
            </w:pPr>
          </w:p>
        </w:tc>
        <w:tc>
          <w:tcPr>
            <w:tcW w:w="466" w:type="dxa"/>
            <w:noWrap w:val="0"/>
            <w:vAlign w:val="center"/>
          </w:tcPr>
          <w:p w14:paraId="0F6CDE76">
            <w:pPr>
              <w:spacing w:line="360" w:lineRule="auto"/>
              <w:jc w:val="center"/>
              <w:rPr>
                <w:rFonts w:hint="default" w:ascii="Times New Roman" w:hAnsi="Times New Roman" w:cs="Times New Roman"/>
                <w:color w:val="auto"/>
                <w:highlight w:val="none"/>
              </w:rPr>
            </w:pPr>
          </w:p>
        </w:tc>
        <w:tc>
          <w:tcPr>
            <w:tcW w:w="1069" w:type="dxa"/>
            <w:noWrap w:val="0"/>
            <w:vAlign w:val="center"/>
          </w:tcPr>
          <w:p w14:paraId="36E44F34">
            <w:pPr>
              <w:spacing w:line="360" w:lineRule="auto"/>
              <w:jc w:val="center"/>
              <w:rPr>
                <w:rFonts w:hint="default" w:ascii="Times New Roman" w:hAnsi="Times New Roman" w:cs="Times New Roman"/>
                <w:color w:val="auto"/>
                <w:highlight w:val="none"/>
              </w:rPr>
            </w:pPr>
          </w:p>
        </w:tc>
        <w:tc>
          <w:tcPr>
            <w:tcW w:w="1140" w:type="dxa"/>
            <w:noWrap w:val="0"/>
            <w:vAlign w:val="center"/>
          </w:tcPr>
          <w:p w14:paraId="334A9959">
            <w:pPr>
              <w:spacing w:line="360" w:lineRule="auto"/>
              <w:jc w:val="center"/>
              <w:rPr>
                <w:rFonts w:hint="default" w:ascii="Times New Roman" w:hAnsi="Times New Roman" w:cs="Times New Roman"/>
                <w:color w:val="auto"/>
                <w:highlight w:val="none"/>
              </w:rPr>
            </w:pPr>
          </w:p>
        </w:tc>
        <w:tc>
          <w:tcPr>
            <w:tcW w:w="1238" w:type="dxa"/>
            <w:noWrap w:val="0"/>
            <w:vAlign w:val="center"/>
          </w:tcPr>
          <w:p w14:paraId="4ADE65C0">
            <w:pPr>
              <w:spacing w:line="360" w:lineRule="auto"/>
              <w:jc w:val="center"/>
              <w:rPr>
                <w:rFonts w:hint="default" w:ascii="Times New Roman" w:hAnsi="Times New Roman" w:cs="Times New Roman"/>
                <w:color w:val="auto"/>
                <w:highlight w:val="none"/>
              </w:rPr>
            </w:pPr>
          </w:p>
        </w:tc>
        <w:tc>
          <w:tcPr>
            <w:tcW w:w="2642" w:type="dxa"/>
            <w:noWrap w:val="0"/>
            <w:vAlign w:val="center"/>
          </w:tcPr>
          <w:p w14:paraId="087BD192">
            <w:pPr>
              <w:spacing w:line="360" w:lineRule="auto"/>
              <w:jc w:val="center"/>
              <w:rPr>
                <w:rFonts w:hint="default" w:ascii="Times New Roman" w:hAnsi="Times New Roman" w:cs="Times New Roman"/>
                <w:color w:val="auto"/>
                <w:highlight w:val="none"/>
              </w:rPr>
            </w:pPr>
          </w:p>
        </w:tc>
        <w:tc>
          <w:tcPr>
            <w:tcW w:w="1524" w:type="dxa"/>
            <w:noWrap w:val="0"/>
            <w:vAlign w:val="center"/>
          </w:tcPr>
          <w:p w14:paraId="5D749FCE">
            <w:pPr>
              <w:spacing w:line="360" w:lineRule="auto"/>
              <w:jc w:val="center"/>
              <w:rPr>
                <w:rFonts w:hint="default" w:ascii="Times New Roman" w:hAnsi="Times New Roman" w:cs="Times New Roman"/>
                <w:color w:val="auto"/>
                <w:highlight w:val="none"/>
              </w:rPr>
            </w:pPr>
          </w:p>
        </w:tc>
      </w:tr>
      <w:tr w14:paraId="3D58D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479" w:type="dxa"/>
            <w:noWrap w:val="0"/>
            <w:vAlign w:val="center"/>
          </w:tcPr>
          <w:p w14:paraId="4263C0B0">
            <w:pPr>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tc>
        <w:tc>
          <w:tcPr>
            <w:tcW w:w="917" w:type="dxa"/>
            <w:noWrap w:val="0"/>
            <w:vAlign w:val="center"/>
          </w:tcPr>
          <w:p w14:paraId="6A78C2E3">
            <w:pPr>
              <w:spacing w:line="360" w:lineRule="auto"/>
              <w:jc w:val="center"/>
              <w:rPr>
                <w:rFonts w:hint="default" w:ascii="Times New Roman" w:hAnsi="Times New Roman" w:cs="Times New Roman"/>
                <w:color w:val="auto"/>
                <w:highlight w:val="none"/>
              </w:rPr>
            </w:pPr>
          </w:p>
        </w:tc>
        <w:tc>
          <w:tcPr>
            <w:tcW w:w="521" w:type="dxa"/>
            <w:noWrap w:val="0"/>
            <w:vAlign w:val="center"/>
          </w:tcPr>
          <w:p w14:paraId="665913D1">
            <w:pPr>
              <w:spacing w:line="360" w:lineRule="auto"/>
              <w:jc w:val="center"/>
              <w:rPr>
                <w:rFonts w:hint="default" w:ascii="Times New Roman" w:hAnsi="Times New Roman" w:cs="Times New Roman"/>
                <w:color w:val="auto"/>
                <w:highlight w:val="none"/>
              </w:rPr>
            </w:pPr>
          </w:p>
        </w:tc>
        <w:tc>
          <w:tcPr>
            <w:tcW w:w="466" w:type="dxa"/>
            <w:noWrap w:val="0"/>
            <w:vAlign w:val="center"/>
          </w:tcPr>
          <w:p w14:paraId="445B7990">
            <w:pPr>
              <w:spacing w:line="360" w:lineRule="auto"/>
              <w:jc w:val="center"/>
              <w:rPr>
                <w:rFonts w:hint="default" w:ascii="Times New Roman" w:hAnsi="Times New Roman" w:cs="Times New Roman"/>
                <w:color w:val="auto"/>
                <w:highlight w:val="none"/>
              </w:rPr>
            </w:pPr>
          </w:p>
        </w:tc>
        <w:tc>
          <w:tcPr>
            <w:tcW w:w="1069" w:type="dxa"/>
            <w:noWrap w:val="0"/>
            <w:vAlign w:val="center"/>
          </w:tcPr>
          <w:p w14:paraId="1C5D5C95">
            <w:pPr>
              <w:spacing w:line="360" w:lineRule="auto"/>
              <w:jc w:val="center"/>
              <w:rPr>
                <w:rFonts w:hint="default" w:ascii="Times New Roman" w:hAnsi="Times New Roman" w:cs="Times New Roman"/>
                <w:color w:val="auto"/>
                <w:highlight w:val="none"/>
              </w:rPr>
            </w:pPr>
          </w:p>
        </w:tc>
        <w:tc>
          <w:tcPr>
            <w:tcW w:w="1140" w:type="dxa"/>
            <w:noWrap w:val="0"/>
            <w:vAlign w:val="center"/>
          </w:tcPr>
          <w:p w14:paraId="4BD4B67E">
            <w:pPr>
              <w:spacing w:line="360" w:lineRule="auto"/>
              <w:jc w:val="center"/>
              <w:rPr>
                <w:rFonts w:hint="default" w:ascii="Times New Roman" w:hAnsi="Times New Roman" w:cs="Times New Roman"/>
                <w:color w:val="auto"/>
                <w:highlight w:val="none"/>
              </w:rPr>
            </w:pPr>
          </w:p>
        </w:tc>
        <w:tc>
          <w:tcPr>
            <w:tcW w:w="1238" w:type="dxa"/>
            <w:noWrap w:val="0"/>
            <w:vAlign w:val="center"/>
          </w:tcPr>
          <w:p w14:paraId="4C4D8C9A">
            <w:pPr>
              <w:spacing w:line="360" w:lineRule="auto"/>
              <w:jc w:val="center"/>
              <w:rPr>
                <w:rFonts w:hint="default" w:ascii="Times New Roman" w:hAnsi="Times New Roman" w:cs="Times New Roman"/>
                <w:color w:val="auto"/>
                <w:highlight w:val="none"/>
              </w:rPr>
            </w:pPr>
          </w:p>
        </w:tc>
        <w:tc>
          <w:tcPr>
            <w:tcW w:w="2642" w:type="dxa"/>
            <w:noWrap w:val="0"/>
            <w:vAlign w:val="center"/>
          </w:tcPr>
          <w:p w14:paraId="2F95B280">
            <w:pPr>
              <w:spacing w:line="360" w:lineRule="auto"/>
              <w:jc w:val="center"/>
              <w:rPr>
                <w:rFonts w:hint="default" w:ascii="Times New Roman" w:hAnsi="Times New Roman" w:cs="Times New Roman"/>
                <w:color w:val="auto"/>
                <w:highlight w:val="none"/>
              </w:rPr>
            </w:pPr>
          </w:p>
        </w:tc>
        <w:tc>
          <w:tcPr>
            <w:tcW w:w="1524" w:type="dxa"/>
            <w:noWrap w:val="0"/>
            <w:vAlign w:val="center"/>
          </w:tcPr>
          <w:p w14:paraId="6F826973">
            <w:pPr>
              <w:spacing w:line="360" w:lineRule="auto"/>
              <w:jc w:val="center"/>
              <w:rPr>
                <w:rFonts w:hint="default" w:ascii="Times New Roman" w:hAnsi="Times New Roman" w:cs="Times New Roman"/>
                <w:color w:val="auto"/>
                <w:highlight w:val="none"/>
              </w:rPr>
            </w:pPr>
          </w:p>
        </w:tc>
      </w:tr>
    </w:tbl>
    <w:p w14:paraId="3ADDA38B">
      <w:pPr>
        <w:shd w:val="clear"/>
        <w:rPr>
          <w:color w:val="000000" w:themeColor="text1"/>
          <w:highlight w:val="none"/>
          <w14:textFill>
            <w14:solidFill>
              <w14:schemeClr w14:val="tx1"/>
            </w14:solidFill>
          </w14:textFill>
        </w:rPr>
      </w:pPr>
    </w:p>
    <w:p w14:paraId="16145FB1">
      <w:pPr>
        <w:pBdr>
          <w:top w:val="none" w:color="000000" w:sz="0" w:space="0"/>
          <w:left w:val="none" w:color="000000" w:sz="0" w:space="0"/>
          <w:bottom w:val="none" w:color="000000" w:sz="0" w:space="0"/>
          <w:right w:val="none" w:color="000000" w:sz="0" w:space="0"/>
        </w:pBdr>
        <w:shd w:val="clear"/>
        <w:spacing w:before="0" w:after="0"/>
        <w:ind w:left="0" w:right="0" w:firstLine="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1D61F547">
      <w:pPr>
        <w:pBdr>
          <w:top w:val="none" w:color="000000" w:sz="0" w:space="0"/>
          <w:left w:val="none" w:color="000000" w:sz="0" w:space="0"/>
          <w:bottom w:val="none" w:color="000000" w:sz="0" w:space="0"/>
          <w:right w:val="none" w:color="000000" w:sz="0" w:space="0"/>
        </w:pBdr>
        <w:shd w:val="clear"/>
        <w:spacing w:before="0" w:after="0"/>
        <w:ind w:left="0" w:right="0" w:firstLine="0"/>
        <w:jc w:val="both"/>
        <w:rPr>
          <w:rFonts w:ascii="宋体" w:hAnsi="宋体" w:eastAsia="宋体" w:cs="宋体"/>
          <w:color w:val="000000" w:themeColor="text1"/>
          <w:sz w:val="24"/>
          <w:highlight w:val="none"/>
          <w14:textFill>
            <w14:solidFill>
              <w14:schemeClr w14:val="tx1"/>
            </w14:solidFill>
          </w14:textFill>
        </w:rPr>
      </w:pPr>
    </w:p>
    <w:p w14:paraId="0E1029A9">
      <w:pPr>
        <w:pBdr>
          <w:top w:val="none" w:color="000000" w:sz="0" w:space="0"/>
          <w:left w:val="none" w:color="000000" w:sz="0" w:space="0"/>
          <w:bottom w:val="none" w:color="000000" w:sz="0" w:space="0"/>
          <w:right w:val="none" w:color="000000" w:sz="0" w:space="0"/>
        </w:pBdr>
        <w:shd w:val="clear"/>
        <w:spacing w:before="0" w:after="0"/>
        <w:ind w:left="0" w:right="0" w:firstLine="964"/>
        <w:jc w:val="both"/>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2、</w:t>
      </w:r>
      <w:r>
        <w:rPr>
          <w:rFonts w:ascii="宋体" w:hAnsi="宋体" w:eastAsia="宋体" w:cs="宋体"/>
          <w:b/>
          <w:bCs/>
          <w:color w:val="000000" w:themeColor="text1"/>
          <w:sz w:val="24"/>
          <w:highlight w:val="none"/>
          <w14:textFill>
            <w14:solidFill>
              <w14:schemeClr w14:val="tx1"/>
            </w14:solidFill>
          </w14:textFill>
        </w:rPr>
        <w:t>投标人拥有的设施设备情况</w:t>
      </w:r>
    </w:p>
    <w:p w14:paraId="7619F7A5">
      <w:pPr>
        <w:pBdr>
          <w:top w:val="none" w:color="000000" w:sz="0" w:space="0"/>
          <w:left w:val="none" w:color="000000" w:sz="0" w:space="0"/>
          <w:bottom w:val="none" w:color="000000" w:sz="0" w:space="0"/>
          <w:right w:val="none" w:color="000000" w:sz="0" w:space="0"/>
        </w:pBdr>
        <w:shd w:val="clear"/>
        <w:spacing w:before="0" w:after="0"/>
        <w:ind w:left="0" w:right="0" w:firstLine="960"/>
        <w:jc w:val="both"/>
        <w:rPr>
          <w:rFonts w:ascii="宋体" w:hAnsi="宋体" w:eastAsia="宋体" w:cs="宋体"/>
          <w:color w:val="000000" w:themeColor="text1"/>
          <w:sz w:val="24"/>
          <w:highlight w:val="none"/>
          <w14:textFill>
            <w14:solidFill>
              <w14:schemeClr w14:val="tx1"/>
            </w14:solidFill>
          </w14:textFill>
        </w:rPr>
      </w:pPr>
    </w:p>
    <w:p w14:paraId="190F2F95">
      <w:pPr>
        <w:pBdr>
          <w:top w:val="none" w:color="000000" w:sz="0" w:space="0"/>
          <w:left w:val="none" w:color="000000" w:sz="0" w:space="0"/>
          <w:bottom w:val="none" w:color="000000" w:sz="0" w:space="0"/>
          <w:right w:val="none" w:color="000000" w:sz="0" w:space="0"/>
        </w:pBdr>
        <w:shd w:val="clear"/>
        <w:spacing w:before="0" w:after="0"/>
        <w:ind w:left="0" w:right="0" w:firstLine="960"/>
        <w:jc w:val="both"/>
        <w:rPr>
          <w:rFonts w:ascii="宋体" w:hAnsi="宋体" w:eastAsia="宋体" w:cs="宋体"/>
          <w:color w:val="000000" w:themeColor="text1"/>
          <w:sz w:val="24"/>
          <w:highlight w:val="none"/>
          <w14:textFill>
            <w14:solidFill>
              <w14:schemeClr w14:val="tx1"/>
            </w14:solidFill>
          </w14:textFill>
        </w:rPr>
      </w:pPr>
    </w:p>
    <w:p w14:paraId="548F403B">
      <w:pPr>
        <w:pBdr>
          <w:top w:val="none" w:color="000000" w:sz="0" w:space="0"/>
          <w:left w:val="none" w:color="000000" w:sz="0" w:space="0"/>
          <w:bottom w:val="none" w:color="000000" w:sz="0" w:space="0"/>
          <w:right w:val="none" w:color="000000" w:sz="0" w:space="0"/>
        </w:pBdr>
        <w:shd w:val="clea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12FDE475">
      <w:pPr>
        <w:pBdr>
          <w:top w:val="none" w:color="000000" w:sz="0" w:space="0"/>
          <w:left w:val="none" w:color="000000" w:sz="0" w:space="0"/>
          <w:bottom w:val="none" w:color="000000" w:sz="0" w:space="0"/>
          <w:right w:val="none" w:color="000000" w:sz="0" w:space="0"/>
        </w:pBdr>
        <w:shd w:val="clear"/>
        <w:spacing w:before="0" w:after="0"/>
        <w:ind w:left="0" w:right="0" w:firstLine="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6AA45D0F">
      <w:pPr>
        <w:pBdr>
          <w:top w:val="none" w:color="000000" w:sz="0" w:space="0"/>
          <w:left w:val="none" w:color="000000" w:sz="0" w:space="0"/>
          <w:bottom w:val="none" w:color="000000" w:sz="0" w:space="0"/>
          <w:right w:val="none" w:color="000000" w:sz="0" w:space="0"/>
        </w:pBdr>
        <w:shd w:val="clear"/>
        <w:spacing w:before="0" w:after="0"/>
        <w:ind w:left="0" w:right="0" w:firstLine="964"/>
        <w:jc w:val="both"/>
        <w:rPr>
          <w:b/>
          <w:bCs/>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3、</w:t>
      </w:r>
      <w:r>
        <w:rPr>
          <w:rFonts w:ascii="宋体" w:hAnsi="宋体" w:eastAsia="宋体" w:cs="宋体"/>
          <w:b/>
          <w:bCs/>
          <w:color w:val="000000" w:themeColor="text1"/>
          <w:sz w:val="24"/>
          <w:highlight w:val="none"/>
          <w14:textFill>
            <w14:solidFill>
              <w14:schemeClr w14:val="tx1"/>
            </w14:solidFill>
          </w14:textFill>
        </w:rPr>
        <w:t>类似业绩一览表</w:t>
      </w:r>
    </w:p>
    <w:tbl>
      <w:tblPr>
        <w:tblStyle w:val="2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23"/>
        <w:gridCol w:w="2227"/>
        <w:gridCol w:w="3331"/>
        <w:gridCol w:w="2228"/>
      </w:tblGrid>
      <w:tr w14:paraId="7E695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23" w:type="dxa"/>
            <w:noWrap w:val="0"/>
            <w:tcMar>
              <w:top w:w="0" w:type="dxa"/>
              <w:left w:w="0" w:type="dxa"/>
              <w:bottom w:w="0" w:type="dxa"/>
              <w:right w:w="0" w:type="dxa"/>
            </w:tcMar>
            <w:vAlign w:val="center"/>
          </w:tcPr>
          <w:p w14:paraId="484BD434">
            <w:pPr>
              <w:pBdr>
                <w:top w:val="none" w:color="000000" w:sz="0" w:space="0"/>
                <w:left w:val="none" w:color="000000" w:sz="0" w:space="0"/>
                <w:bottom w:val="none" w:color="000000" w:sz="0" w:space="0"/>
                <w:right w:val="none" w:color="000000" w:sz="0" w:space="0"/>
              </w:pBdr>
              <w:shd w:val="clear"/>
              <w:spacing w:before="200" w:after="20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序号 </w:t>
            </w:r>
          </w:p>
        </w:tc>
        <w:tc>
          <w:tcPr>
            <w:tcW w:w="2227" w:type="dxa"/>
            <w:noWrap w:val="0"/>
            <w:tcMar>
              <w:top w:w="0" w:type="dxa"/>
              <w:left w:w="0" w:type="dxa"/>
              <w:bottom w:w="0" w:type="dxa"/>
              <w:right w:w="0" w:type="dxa"/>
            </w:tcMar>
            <w:vAlign w:val="center"/>
          </w:tcPr>
          <w:p w14:paraId="54CD4D23">
            <w:pPr>
              <w:pBdr>
                <w:top w:val="none" w:color="000000" w:sz="0" w:space="0"/>
                <w:left w:val="none" w:color="000000" w:sz="0" w:space="0"/>
                <w:bottom w:val="none" w:color="000000" w:sz="0" w:space="0"/>
                <w:right w:val="none" w:color="000000" w:sz="0" w:space="0"/>
              </w:pBdr>
              <w:shd w:val="clear"/>
              <w:spacing w:before="200" w:after="20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项目名称 </w:t>
            </w:r>
          </w:p>
        </w:tc>
        <w:tc>
          <w:tcPr>
            <w:tcW w:w="3331" w:type="dxa"/>
            <w:noWrap w:val="0"/>
            <w:tcMar>
              <w:top w:w="0" w:type="dxa"/>
              <w:left w:w="0" w:type="dxa"/>
              <w:bottom w:w="0" w:type="dxa"/>
              <w:right w:w="0" w:type="dxa"/>
            </w:tcMar>
            <w:vAlign w:val="center"/>
          </w:tcPr>
          <w:p w14:paraId="2FEB24E8">
            <w:pPr>
              <w:pBdr>
                <w:top w:val="none" w:color="000000" w:sz="0" w:space="0"/>
                <w:left w:val="none" w:color="000000" w:sz="0" w:space="0"/>
                <w:bottom w:val="none" w:color="000000" w:sz="0" w:space="0"/>
                <w:right w:val="none" w:color="000000" w:sz="0" w:space="0"/>
              </w:pBdr>
              <w:shd w:val="clear"/>
              <w:spacing w:before="200" w:after="20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合同期（天） </w:t>
            </w:r>
          </w:p>
        </w:tc>
        <w:tc>
          <w:tcPr>
            <w:tcW w:w="2228" w:type="dxa"/>
            <w:noWrap w:val="0"/>
            <w:tcMar>
              <w:top w:w="0" w:type="dxa"/>
              <w:left w:w="0" w:type="dxa"/>
              <w:bottom w:w="0" w:type="dxa"/>
              <w:right w:w="0" w:type="dxa"/>
            </w:tcMar>
            <w:vAlign w:val="center"/>
          </w:tcPr>
          <w:p w14:paraId="325CBADA">
            <w:pPr>
              <w:pBdr>
                <w:top w:val="none" w:color="000000" w:sz="0" w:space="0"/>
                <w:left w:val="none" w:color="000000" w:sz="0" w:space="0"/>
                <w:bottom w:val="none" w:color="000000" w:sz="0" w:space="0"/>
                <w:right w:val="none" w:color="000000" w:sz="0" w:space="0"/>
              </w:pBdr>
              <w:shd w:val="clear"/>
              <w:spacing w:before="200" w:after="20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合同金额 </w:t>
            </w:r>
          </w:p>
        </w:tc>
      </w:tr>
      <w:tr w14:paraId="09B80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23" w:type="dxa"/>
            <w:noWrap w:val="0"/>
            <w:tcMar>
              <w:top w:w="0" w:type="dxa"/>
              <w:left w:w="0" w:type="dxa"/>
              <w:bottom w:w="0" w:type="dxa"/>
              <w:right w:w="0" w:type="dxa"/>
            </w:tcMar>
            <w:vAlign w:val="center"/>
          </w:tcPr>
          <w:p w14:paraId="009D9797">
            <w:pPr>
              <w:pBdr>
                <w:top w:val="none" w:color="000000" w:sz="0" w:space="0"/>
                <w:left w:val="none" w:color="000000" w:sz="0" w:space="0"/>
                <w:bottom w:val="none" w:color="000000" w:sz="0" w:space="0"/>
                <w:right w:val="none" w:color="000000" w:sz="0" w:space="0"/>
              </w:pBdr>
              <w:shd w:val="clear"/>
              <w:spacing w:before="200" w:after="20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227" w:type="dxa"/>
            <w:noWrap w:val="0"/>
            <w:tcMar>
              <w:top w:w="0" w:type="dxa"/>
              <w:left w:w="0" w:type="dxa"/>
              <w:bottom w:w="0" w:type="dxa"/>
              <w:right w:w="0" w:type="dxa"/>
            </w:tcMar>
            <w:vAlign w:val="center"/>
          </w:tcPr>
          <w:p w14:paraId="1957D4C0">
            <w:pPr>
              <w:pBdr>
                <w:top w:val="none" w:color="000000" w:sz="0" w:space="0"/>
                <w:left w:val="none" w:color="000000" w:sz="0" w:space="0"/>
                <w:bottom w:val="none" w:color="000000" w:sz="0" w:space="0"/>
                <w:right w:val="none" w:color="000000" w:sz="0" w:space="0"/>
              </w:pBdr>
              <w:shd w:val="clear"/>
              <w:spacing w:before="200" w:after="20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3331" w:type="dxa"/>
            <w:noWrap w:val="0"/>
            <w:tcMar>
              <w:top w:w="0" w:type="dxa"/>
              <w:left w:w="0" w:type="dxa"/>
              <w:bottom w:w="0" w:type="dxa"/>
              <w:right w:w="0" w:type="dxa"/>
            </w:tcMar>
            <w:vAlign w:val="center"/>
          </w:tcPr>
          <w:p w14:paraId="1A11379E">
            <w:pPr>
              <w:pBdr>
                <w:top w:val="none" w:color="000000" w:sz="0" w:space="0"/>
                <w:left w:val="none" w:color="000000" w:sz="0" w:space="0"/>
                <w:bottom w:val="none" w:color="000000" w:sz="0" w:space="0"/>
                <w:right w:val="none" w:color="000000" w:sz="0" w:space="0"/>
              </w:pBdr>
              <w:shd w:val="clear"/>
              <w:spacing w:before="200" w:after="20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    </w:t>
            </w:r>
          </w:p>
        </w:tc>
        <w:tc>
          <w:tcPr>
            <w:tcW w:w="2228" w:type="dxa"/>
            <w:noWrap w:val="0"/>
            <w:tcMar>
              <w:top w:w="0" w:type="dxa"/>
              <w:left w:w="0" w:type="dxa"/>
              <w:bottom w:w="0" w:type="dxa"/>
              <w:right w:w="0" w:type="dxa"/>
            </w:tcMar>
            <w:vAlign w:val="center"/>
          </w:tcPr>
          <w:p w14:paraId="34C4CEC7">
            <w:pPr>
              <w:pBdr>
                <w:top w:val="none" w:color="000000" w:sz="0" w:space="0"/>
                <w:left w:val="none" w:color="000000" w:sz="0" w:space="0"/>
                <w:bottom w:val="none" w:color="000000" w:sz="0" w:space="0"/>
                <w:right w:val="none" w:color="000000" w:sz="0" w:space="0"/>
              </w:pBdr>
              <w:shd w:val="clear"/>
              <w:spacing w:before="0" w:after="0" w:line="240" w:lineRule="auto"/>
              <w:ind w:left="0" w:right="0" w:firstLine="0"/>
              <w:jc w:val="both"/>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1"/>
                <w:highlight w:val="none"/>
                <w14:textFill>
                  <w14:solidFill>
                    <w14:schemeClr w14:val="tx1"/>
                  </w14:solidFill>
                </w14:textFill>
              </w:rPr>
              <w:t> </w:t>
            </w:r>
          </w:p>
        </w:tc>
      </w:tr>
    </w:tbl>
    <w:p w14:paraId="7F178212">
      <w:pPr>
        <w:pBdr>
          <w:top w:val="none" w:color="000000" w:sz="0" w:space="0"/>
          <w:left w:val="none" w:color="000000" w:sz="0" w:space="0"/>
          <w:bottom w:val="none" w:color="000000" w:sz="0" w:space="0"/>
          <w:right w:val="none" w:color="000000" w:sz="0" w:space="0"/>
        </w:pBdr>
        <w:shd w:val="clear"/>
        <w:spacing w:before="0" w:after="0" w:line="43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1F6FD6C3">
      <w:pPr>
        <w:numPr>
          <w:ilvl w:val="0"/>
          <w:numId w:val="0"/>
        </w:numPr>
        <w:pBdr>
          <w:top w:val="none" w:color="000000" w:sz="0" w:space="0"/>
          <w:left w:val="none" w:color="000000" w:sz="0" w:space="0"/>
          <w:bottom w:val="none" w:color="000000" w:sz="0" w:space="0"/>
          <w:right w:val="none" w:color="000000" w:sz="0" w:space="0"/>
        </w:pBdr>
        <w:shd w:val="clear"/>
        <w:spacing w:before="0" w:after="0"/>
        <w:ind w:right="0"/>
        <w:jc w:val="center"/>
        <w:rPr>
          <w:color w:val="000000" w:themeColor="text1"/>
          <w:highlight w:val="none"/>
          <w14:textFill>
            <w14:solidFill>
              <w14:schemeClr w14:val="tx1"/>
            </w14:solidFill>
          </w14:textFill>
        </w:rPr>
      </w:pPr>
    </w:p>
    <w:p w14:paraId="174E9549">
      <w:pPr>
        <w:numPr>
          <w:ilvl w:val="0"/>
          <w:numId w:val="0"/>
        </w:numPr>
        <w:pBdr>
          <w:top w:val="none" w:color="000000" w:sz="0" w:space="0"/>
          <w:left w:val="none" w:color="000000" w:sz="0" w:space="0"/>
          <w:bottom w:val="none" w:color="000000" w:sz="0" w:space="0"/>
          <w:right w:val="none" w:color="000000" w:sz="0" w:space="0"/>
        </w:pBdr>
        <w:shd w:val="clear"/>
        <w:spacing w:before="0" w:after="0"/>
        <w:ind w:right="0"/>
        <w:jc w:val="center"/>
        <w:rPr>
          <w:rFonts w:ascii="黑体" w:hAnsi="黑体" w:eastAsia="黑体" w:cs="黑体"/>
          <w:b/>
          <w:color w:val="000000" w:themeColor="text1"/>
          <w:sz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hAnsi="黑体" w:eastAsia="黑体" w:cs="黑体"/>
          <w:b/>
          <w:color w:val="000000" w:themeColor="text1"/>
          <w:sz w:val="32"/>
          <w:highlight w:val="none"/>
          <w:lang w:val="en-US" w:eastAsia="zh-CN"/>
          <w14:textFill>
            <w14:solidFill>
              <w14:schemeClr w14:val="tx1"/>
            </w14:solidFill>
          </w14:textFill>
        </w:rPr>
        <w:t>十六、</w:t>
      </w:r>
      <w:r>
        <w:rPr>
          <w:rFonts w:ascii="黑体" w:hAnsi="黑体" w:eastAsia="黑体" w:cs="黑体"/>
          <w:b/>
          <w:color w:val="000000" w:themeColor="text1"/>
          <w:sz w:val="32"/>
          <w:highlight w:val="none"/>
          <w14:textFill>
            <w14:solidFill>
              <w14:schemeClr w14:val="tx1"/>
            </w14:solidFill>
          </w14:textFill>
        </w:rPr>
        <w:t>其他材料</w:t>
      </w:r>
    </w:p>
    <w:p w14:paraId="5B46166A">
      <w:pPr>
        <w:numPr>
          <w:ilvl w:val="0"/>
          <w:numId w:val="0"/>
        </w:numPr>
        <w:pBdr>
          <w:top w:val="none" w:color="000000" w:sz="0" w:space="0"/>
          <w:left w:val="none" w:color="000000" w:sz="0" w:space="0"/>
          <w:bottom w:val="none" w:color="000000" w:sz="0" w:space="0"/>
          <w:right w:val="none" w:color="000000" w:sz="0" w:space="0"/>
        </w:pBdr>
        <w:shd w:val="clear"/>
        <w:spacing w:before="0" w:after="0"/>
        <w:ind w:right="0"/>
        <w:jc w:val="both"/>
        <w:rPr>
          <w:rFonts w:ascii="黑体" w:hAnsi="黑体" w:eastAsia="黑体" w:cs="黑体"/>
          <w:b/>
          <w:i/>
          <w:color w:val="000000" w:themeColor="text1"/>
          <w:sz w:val="32"/>
          <w:highlight w:val="none"/>
          <w:u w:val="single"/>
          <w14:textFill>
            <w14:solidFill>
              <w14:schemeClr w14:val="tx1"/>
            </w14:solidFill>
          </w14:textFill>
        </w:rPr>
      </w:pPr>
    </w:p>
    <w:p w14:paraId="3E0D68BA">
      <w:pPr>
        <w:numPr>
          <w:ilvl w:val="0"/>
          <w:numId w:val="0"/>
        </w:numPr>
        <w:pBdr>
          <w:top w:val="none" w:color="000000" w:sz="0" w:space="0"/>
          <w:left w:val="none" w:color="000000" w:sz="0" w:space="0"/>
          <w:bottom w:val="none" w:color="000000" w:sz="0" w:space="0"/>
          <w:right w:val="none" w:color="000000" w:sz="0" w:space="0"/>
        </w:pBdr>
        <w:shd w:val="clear"/>
        <w:spacing w:before="0" w:after="0"/>
        <w:ind w:right="0"/>
        <w:jc w:val="both"/>
        <w:rPr>
          <w:rFonts w:ascii="黑体" w:hAnsi="黑体" w:eastAsia="黑体" w:cs="黑体"/>
          <w:b/>
          <w:i/>
          <w:color w:val="000000" w:themeColor="text1"/>
          <w:sz w:val="32"/>
          <w:highlight w:val="none"/>
          <w:u w:val="single"/>
          <w14:textFill>
            <w14:solidFill>
              <w14:schemeClr w14:val="tx1"/>
            </w14:solidFill>
          </w14:textFill>
        </w:rPr>
      </w:pPr>
    </w:p>
    <w:p w14:paraId="3B224776">
      <w:pPr>
        <w:numPr>
          <w:ilvl w:val="0"/>
          <w:numId w:val="0"/>
        </w:numPr>
        <w:pBdr>
          <w:top w:val="none" w:color="000000" w:sz="0" w:space="0"/>
          <w:left w:val="none" w:color="000000" w:sz="0" w:space="0"/>
          <w:bottom w:val="none" w:color="000000" w:sz="0" w:space="0"/>
          <w:right w:val="none" w:color="000000" w:sz="0" w:space="0"/>
        </w:pBdr>
        <w:shd w:val="clear"/>
        <w:spacing w:before="0" w:after="0"/>
        <w:ind w:right="0"/>
        <w:jc w:val="both"/>
        <w:rPr>
          <w:rFonts w:ascii="黑体" w:hAnsi="黑体" w:eastAsia="黑体" w:cs="黑体"/>
          <w:b/>
          <w:i/>
          <w:color w:val="000000" w:themeColor="text1"/>
          <w:sz w:val="32"/>
          <w:highlight w:val="none"/>
          <w:u w:val="single"/>
          <w14:textFill>
            <w14:solidFill>
              <w14:schemeClr w14:val="tx1"/>
            </w14:solidFill>
          </w14:textFill>
        </w:rPr>
      </w:pPr>
    </w:p>
    <w:p w14:paraId="3C64CC25">
      <w:pPr>
        <w:numPr>
          <w:ilvl w:val="0"/>
          <w:numId w:val="0"/>
        </w:numPr>
        <w:pBdr>
          <w:top w:val="none" w:color="000000" w:sz="0" w:space="0"/>
          <w:left w:val="none" w:color="000000" w:sz="0" w:space="0"/>
          <w:bottom w:val="none" w:color="000000" w:sz="0" w:space="0"/>
          <w:right w:val="none" w:color="000000" w:sz="0" w:space="0"/>
        </w:pBdr>
        <w:shd w:val="clear"/>
        <w:spacing w:before="0" w:after="0"/>
        <w:ind w:right="0"/>
        <w:jc w:val="both"/>
        <w:rPr>
          <w:rFonts w:ascii="黑体" w:hAnsi="黑体" w:eastAsia="黑体" w:cs="黑体"/>
          <w:b/>
          <w:i/>
          <w:color w:val="000000" w:themeColor="text1"/>
          <w:sz w:val="32"/>
          <w:highlight w:val="none"/>
          <w:u w:val="single"/>
          <w14:textFill>
            <w14:solidFill>
              <w14:schemeClr w14:val="tx1"/>
            </w14:solidFill>
          </w14:textFill>
        </w:rPr>
      </w:pPr>
    </w:p>
    <w:p w14:paraId="62123E4A">
      <w:pPr>
        <w:numPr>
          <w:ilvl w:val="0"/>
          <w:numId w:val="0"/>
        </w:numPr>
        <w:pBdr>
          <w:top w:val="none" w:color="000000" w:sz="0" w:space="0"/>
          <w:left w:val="none" w:color="000000" w:sz="0" w:space="0"/>
          <w:bottom w:val="none" w:color="000000" w:sz="0" w:space="0"/>
          <w:right w:val="none" w:color="000000" w:sz="0" w:space="0"/>
        </w:pBdr>
        <w:shd w:val="clear"/>
        <w:spacing w:before="0" w:after="0"/>
        <w:ind w:right="0"/>
        <w:jc w:val="both"/>
        <w:rPr>
          <w:rFonts w:ascii="黑体" w:hAnsi="黑体" w:eastAsia="黑体" w:cs="黑体"/>
          <w:b/>
          <w:i/>
          <w:color w:val="000000" w:themeColor="text1"/>
          <w:sz w:val="32"/>
          <w:highlight w:val="none"/>
          <w:u w:val="single"/>
          <w14:textFill>
            <w14:solidFill>
              <w14:schemeClr w14:val="tx1"/>
            </w14:solidFill>
          </w14:textFill>
        </w:rPr>
      </w:pPr>
    </w:p>
    <w:p w14:paraId="524C7DAD">
      <w:pPr>
        <w:numPr>
          <w:ilvl w:val="0"/>
          <w:numId w:val="0"/>
        </w:numPr>
        <w:pBdr>
          <w:top w:val="none" w:color="000000" w:sz="0" w:space="0"/>
          <w:left w:val="none" w:color="000000" w:sz="0" w:space="0"/>
          <w:bottom w:val="none" w:color="000000" w:sz="0" w:space="0"/>
          <w:right w:val="none" w:color="000000" w:sz="0" w:space="0"/>
        </w:pBdr>
        <w:shd w:val="clear"/>
        <w:spacing w:before="0" w:after="0"/>
        <w:ind w:right="0"/>
        <w:jc w:val="both"/>
        <w:rPr>
          <w:rFonts w:ascii="黑体" w:hAnsi="黑体" w:eastAsia="黑体" w:cs="黑体"/>
          <w:b/>
          <w:i/>
          <w:color w:val="000000" w:themeColor="text1"/>
          <w:sz w:val="32"/>
          <w:highlight w:val="none"/>
          <w:u w:val="single"/>
          <w14:textFill>
            <w14:solidFill>
              <w14:schemeClr w14:val="tx1"/>
            </w14:solidFill>
          </w14:textFill>
        </w:rPr>
      </w:pPr>
    </w:p>
    <w:p w14:paraId="409D6844">
      <w:pPr>
        <w:numPr>
          <w:ilvl w:val="0"/>
          <w:numId w:val="0"/>
        </w:numPr>
        <w:pBdr>
          <w:top w:val="none" w:color="000000" w:sz="0" w:space="0"/>
          <w:left w:val="none" w:color="000000" w:sz="0" w:space="0"/>
          <w:bottom w:val="none" w:color="000000" w:sz="0" w:space="0"/>
          <w:right w:val="none" w:color="000000" w:sz="0" w:space="0"/>
        </w:pBdr>
        <w:shd w:val="clear"/>
        <w:spacing w:before="0" w:after="0"/>
        <w:ind w:right="0"/>
        <w:jc w:val="both"/>
        <w:rPr>
          <w:rFonts w:ascii="黑体" w:hAnsi="黑体" w:eastAsia="黑体" w:cs="黑体"/>
          <w:b/>
          <w:i/>
          <w:color w:val="000000" w:themeColor="text1"/>
          <w:sz w:val="32"/>
          <w:highlight w:val="none"/>
          <w:u w:val="single"/>
          <w14:textFill>
            <w14:solidFill>
              <w14:schemeClr w14:val="tx1"/>
            </w14:solidFill>
          </w14:textFill>
        </w:rPr>
      </w:pPr>
    </w:p>
    <w:p w14:paraId="6208751E">
      <w:pPr>
        <w:numPr>
          <w:ilvl w:val="0"/>
          <w:numId w:val="0"/>
        </w:numPr>
        <w:pBdr>
          <w:top w:val="none" w:color="000000" w:sz="0" w:space="0"/>
          <w:left w:val="none" w:color="000000" w:sz="0" w:space="0"/>
          <w:bottom w:val="none" w:color="000000" w:sz="0" w:space="0"/>
          <w:right w:val="none" w:color="000000" w:sz="0" w:space="0"/>
        </w:pBdr>
        <w:shd w:val="clear"/>
        <w:spacing w:before="0" w:after="0"/>
        <w:ind w:right="0"/>
        <w:jc w:val="both"/>
        <w:rPr>
          <w:rFonts w:ascii="黑体" w:hAnsi="黑体" w:eastAsia="黑体" w:cs="黑体"/>
          <w:b/>
          <w:i/>
          <w:color w:val="000000" w:themeColor="text1"/>
          <w:sz w:val="32"/>
          <w:highlight w:val="none"/>
          <w:u w:val="single"/>
          <w14:textFill>
            <w14:solidFill>
              <w14:schemeClr w14:val="tx1"/>
            </w14:solidFill>
          </w14:textFill>
        </w:rPr>
      </w:pPr>
    </w:p>
    <w:p w14:paraId="26B78EF8">
      <w:pPr>
        <w:pBdr>
          <w:top w:val="none" w:color="000000" w:sz="0" w:space="0"/>
          <w:left w:val="none" w:color="000000" w:sz="0" w:space="0"/>
          <w:bottom w:val="none" w:color="000000" w:sz="0" w:space="0"/>
          <w:right w:val="none" w:color="000000" w:sz="0" w:space="0"/>
        </w:pBdr>
        <w:shd w:val="clear"/>
        <w:spacing w:before="0" w:after="0"/>
        <w:ind w:right="0"/>
        <w:jc w:val="both"/>
        <w:rPr>
          <w:color w:val="000000" w:themeColor="text1"/>
          <w:highlight w:val="none"/>
          <w14:textFill>
            <w14:solidFill>
              <w14:schemeClr w14:val="tx1"/>
            </w14:solidFill>
          </w14:textFill>
        </w:rPr>
      </w:pPr>
    </w:p>
    <w:p w14:paraId="09164980">
      <w:pPr>
        <w:pBdr>
          <w:top w:val="none" w:color="000000" w:sz="0" w:space="0"/>
          <w:left w:val="none" w:color="000000" w:sz="0" w:space="0"/>
          <w:bottom w:val="none" w:color="000000" w:sz="0" w:space="0"/>
          <w:right w:val="none" w:color="000000" w:sz="0" w:space="0"/>
        </w:pBdr>
        <w:shd w:val="clear"/>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4D4615FA">
      <w:pPr>
        <w:pBdr>
          <w:top w:val="none" w:color="000000" w:sz="0" w:space="0"/>
          <w:left w:val="none" w:color="000000" w:sz="0" w:space="0"/>
          <w:bottom w:val="none" w:color="000000" w:sz="0" w:space="0"/>
          <w:right w:val="none" w:color="000000" w:sz="0" w:space="0"/>
        </w:pBdr>
        <w:shd w:val="clear"/>
        <w:spacing w:before="0" w:after="0"/>
        <w:ind w:left="0" w:right="0" w:firstLine="480"/>
        <w:jc w:val="both"/>
        <w:rPr>
          <w:rFonts w:ascii="宋体" w:hAnsi="宋体" w:eastAsia="宋体" w:cs="宋体"/>
          <w:color w:val="000000" w:themeColor="text1"/>
          <w:sz w:val="24"/>
          <w:highlight w:val="none"/>
          <w14:textFill>
            <w14:solidFill>
              <w14:schemeClr w14:val="tx1"/>
            </w14:solidFill>
          </w14:textFill>
        </w:rPr>
      </w:pPr>
    </w:p>
    <w:p w14:paraId="3DF8BAFE">
      <w:pPr>
        <w:pBdr>
          <w:top w:val="none" w:color="000000" w:sz="0" w:space="0"/>
          <w:left w:val="none" w:color="000000" w:sz="0" w:space="0"/>
          <w:bottom w:val="none" w:color="000000" w:sz="0" w:space="0"/>
          <w:right w:val="none" w:color="000000" w:sz="0" w:space="0"/>
        </w:pBdr>
        <w:shd w:val="clear"/>
        <w:spacing w:before="0" w:after="0"/>
        <w:ind w:left="0" w:right="0" w:firstLine="480"/>
        <w:jc w:val="both"/>
        <w:rPr>
          <w:rFonts w:ascii="宋体" w:hAnsi="宋体" w:eastAsia="宋体" w:cs="宋体"/>
          <w:color w:val="000000" w:themeColor="text1"/>
          <w:sz w:val="24"/>
          <w:highlight w:val="none"/>
          <w14:textFill>
            <w14:solidFill>
              <w14:schemeClr w14:val="tx1"/>
            </w14:solidFill>
          </w14:textFill>
        </w:rPr>
      </w:pPr>
    </w:p>
    <w:p w14:paraId="72011035">
      <w:pPr>
        <w:pBdr>
          <w:top w:val="none" w:color="000000" w:sz="0" w:space="0"/>
          <w:left w:val="none" w:color="000000" w:sz="0" w:space="0"/>
          <w:bottom w:val="none" w:color="000000" w:sz="0" w:space="0"/>
          <w:right w:val="none" w:color="000000" w:sz="0" w:space="0"/>
        </w:pBdr>
        <w:shd w:val="clear"/>
        <w:spacing w:before="0" w:after="0"/>
        <w:ind w:left="0" w:right="0" w:firstLine="480"/>
        <w:jc w:val="both"/>
        <w:rPr>
          <w:rFonts w:ascii="宋体" w:hAnsi="宋体" w:eastAsia="宋体" w:cs="宋体"/>
          <w:color w:val="000000" w:themeColor="text1"/>
          <w:sz w:val="24"/>
          <w:highlight w:val="none"/>
          <w14:textFill>
            <w14:solidFill>
              <w14:schemeClr w14:val="tx1"/>
            </w14:solidFill>
          </w14:textFill>
        </w:rPr>
      </w:pPr>
    </w:p>
    <w:p w14:paraId="1DE6AE20">
      <w:pPr>
        <w:pBdr>
          <w:top w:val="none" w:color="000000" w:sz="0" w:space="0"/>
          <w:left w:val="none" w:color="000000" w:sz="0" w:space="0"/>
          <w:bottom w:val="none" w:color="000000" w:sz="0" w:space="0"/>
          <w:right w:val="none" w:color="000000" w:sz="0" w:space="0"/>
        </w:pBdr>
        <w:shd w:val="clear"/>
        <w:spacing w:before="0" w:after="0"/>
        <w:ind w:left="0" w:right="0" w:firstLine="480"/>
        <w:jc w:val="both"/>
        <w:rPr>
          <w:rFonts w:ascii="宋体" w:hAnsi="宋体" w:eastAsia="宋体" w:cs="宋体"/>
          <w:color w:val="000000" w:themeColor="text1"/>
          <w:sz w:val="24"/>
          <w:highlight w:val="none"/>
          <w14:textFill>
            <w14:solidFill>
              <w14:schemeClr w14:val="tx1"/>
            </w14:solidFill>
          </w14:textFill>
        </w:rPr>
      </w:pPr>
    </w:p>
    <w:p w14:paraId="4B44A631">
      <w:pPr>
        <w:pBdr>
          <w:top w:val="none" w:color="000000" w:sz="0" w:space="0"/>
          <w:left w:val="none" w:color="000000" w:sz="0" w:space="0"/>
          <w:bottom w:val="none" w:color="000000" w:sz="0" w:space="0"/>
          <w:right w:val="none" w:color="000000" w:sz="0" w:space="0"/>
        </w:pBdr>
        <w:shd w:val="clear"/>
        <w:spacing w:before="0" w:after="0"/>
        <w:ind w:left="0" w:right="0" w:firstLine="480"/>
        <w:jc w:val="both"/>
        <w:rPr>
          <w:rFonts w:ascii="宋体" w:hAnsi="宋体" w:eastAsia="宋体" w:cs="宋体"/>
          <w:color w:val="000000" w:themeColor="text1"/>
          <w:sz w:val="24"/>
          <w:highlight w:val="none"/>
          <w14:textFill>
            <w14:solidFill>
              <w14:schemeClr w14:val="tx1"/>
            </w14:solidFill>
          </w14:textFill>
        </w:rPr>
      </w:pPr>
    </w:p>
    <w:p w14:paraId="0F24FB7B">
      <w:pPr>
        <w:pBdr>
          <w:top w:val="none" w:color="000000" w:sz="0" w:space="0"/>
          <w:left w:val="none" w:color="000000" w:sz="0" w:space="0"/>
          <w:bottom w:val="none" w:color="000000" w:sz="0" w:space="0"/>
          <w:right w:val="none" w:color="000000" w:sz="0" w:space="0"/>
        </w:pBdr>
        <w:shd w:val="clear"/>
        <w:spacing w:before="0" w:after="0"/>
        <w:ind w:left="0" w:right="0" w:firstLine="480"/>
        <w:jc w:val="both"/>
        <w:rPr>
          <w:rFonts w:ascii="宋体" w:hAnsi="宋体" w:eastAsia="宋体" w:cs="宋体"/>
          <w:color w:val="000000" w:themeColor="text1"/>
          <w:sz w:val="24"/>
          <w:highlight w:val="none"/>
          <w14:textFill>
            <w14:solidFill>
              <w14:schemeClr w14:val="tx1"/>
            </w14:solidFill>
          </w14:textFill>
        </w:rPr>
      </w:pPr>
    </w:p>
    <w:p w14:paraId="721FA612">
      <w:pPr>
        <w:pBdr>
          <w:top w:val="none" w:color="000000" w:sz="0" w:space="0"/>
          <w:left w:val="none" w:color="000000" w:sz="0" w:space="0"/>
          <w:bottom w:val="none" w:color="000000" w:sz="0" w:space="0"/>
          <w:right w:val="none" w:color="000000" w:sz="0" w:space="0"/>
        </w:pBdr>
        <w:shd w:val="clear"/>
        <w:spacing w:before="0" w:after="0"/>
        <w:ind w:left="0" w:right="0" w:firstLine="480"/>
        <w:jc w:val="both"/>
        <w:rPr>
          <w:rFonts w:ascii="宋体" w:hAnsi="宋体" w:eastAsia="宋体" w:cs="宋体"/>
          <w:color w:val="000000" w:themeColor="text1"/>
          <w:sz w:val="24"/>
          <w:highlight w:val="none"/>
          <w14:textFill>
            <w14:solidFill>
              <w14:schemeClr w14:val="tx1"/>
            </w14:solidFill>
          </w14:textFill>
        </w:rPr>
      </w:pPr>
    </w:p>
    <w:p w14:paraId="3A70D010">
      <w:pPr>
        <w:pBdr>
          <w:top w:val="none" w:color="000000" w:sz="0" w:space="0"/>
          <w:left w:val="none" w:color="000000" w:sz="0" w:space="0"/>
          <w:bottom w:val="none" w:color="000000" w:sz="0" w:space="0"/>
          <w:right w:val="none" w:color="000000" w:sz="0" w:space="0"/>
        </w:pBdr>
        <w:shd w:val="clear"/>
        <w:spacing w:before="0" w:after="0"/>
        <w:ind w:left="0" w:right="0" w:firstLine="480"/>
        <w:jc w:val="both"/>
        <w:rPr>
          <w:rFonts w:ascii="宋体" w:hAnsi="宋体" w:eastAsia="宋体" w:cs="宋体"/>
          <w:color w:val="000000" w:themeColor="text1"/>
          <w:sz w:val="24"/>
          <w:highlight w:val="none"/>
          <w14:textFill>
            <w14:solidFill>
              <w14:schemeClr w14:val="tx1"/>
            </w14:solidFill>
          </w14:textFill>
        </w:rPr>
      </w:pPr>
    </w:p>
    <w:p w14:paraId="2A99DCFB">
      <w:pPr>
        <w:pBdr>
          <w:top w:val="none" w:color="000000" w:sz="0" w:space="0"/>
          <w:left w:val="none" w:color="000000" w:sz="0" w:space="0"/>
          <w:bottom w:val="none" w:color="000000" w:sz="0" w:space="0"/>
          <w:right w:val="none" w:color="000000" w:sz="0" w:space="0"/>
        </w:pBdr>
        <w:shd w:val="clear"/>
        <w:spacing w:before="0" w:after="0"/>
        <w:ind w:left="0" w:right="0" w:firstLine="480"/>
        <w:jc w:val="both"/>
        <w:rPr>
          <w:rFonts w:ascii="宋体" w:hAnsi="宋体" w:eastAsia="宋体" w:cs="宋体"/>
          <w:color w:val="000000" w:themeColor="text1"/>
          <w:sz w:val="24"/>
          <w:highlight w:val="none"/>
          <w14:textFill>
            <w14:solidFill>
              <w14:schemeClr w14:val="tx1"/>
            </w14:solidFill>
          </w14:textFill>
        </w:rPr>
      </w:pPr>
    </w:p>
    <w:p w14:paraId="3C93AB99">
      <w:pPr>
        <w:pBdr>
          <w:top w:val="none" w:color="000000" w:sz="0" w:space="0"/>
          <w:left w:val="none" w:color="000000" w:sz="0" w:space="0"/>
          <w:bottom w:val="none" w:color="000000" w:sz="0" w:space="0"/>
          <w:right w:val="none" w:color="000000" w:sz="0" w:space="0"/>
        </w:pBdr>
        <w:shd w:val="clear"/>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455B4702">
      <w:pPr>
        <w:pBdr>
          <w:top w:val="none" w:color="000000" w:sz="0" w:space="0"/>
          <w:left w:val="none" w:color="000000" w:sz="0" w:space="0"/>
          <w:bottom w:val="none" w:color="000000" w:sz="0" w:space="0"/>
          <w:right w:val="none" w:color="000000" w:sz="0" w:space="0"/>
        </w:pBdr>
        <w:shd w:val="clear"/>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1A2B59EE">
      <w:pPr>
        <w:shd w:val="clear"/>
        <w:rPr>
          <w:rFonts w:hint="eastAsia" w:ascii="宋体" w:hAnsi="宋体" w:eastAsia="宋体"/>
          <w:b/>
          <w:bCs/>
          <w:color w:val="000000" w:themeColor="text1"/>
          <w:sz w:val="24"/>
          <w:highlight w:val="none"/>
          <w14:textFill>
            <w14:solidFill>
              <w14:schemeClr w14:val="tx1"/>
            </w14:solidFill>
          </w14:textFill>
        </w:rPr>
      </w:pPr>
      <w:r>
        <w:rPr>
          <w:rFonts w:ascii="Times New Roman" w:hAnsi="Times New Roman" w:eastAsia="Times New Roman" w:cs="Times New Roman"/>
          <w:b/>
          <w:bCs/>
          <w:color w:val="000000" w:themeColor="text1"/>
          <w:sz w:val="24"/>
          <w:highlight w:val="none"/>
          <w14:textFill>
            <w14:solidFill>
              <w14:schemeClr w14:val="tx1"/>
            </w14:solidFill>
          </w14:textFill>
        </w:rPr>
        <w:t> </w:t>
      </w:r>
      <w:r>
        <w:rPr>
          <w:rFonts w:hint="eastAsia" w:ascii="Times New Roman" w:hAnsi="Times New Roman" w:eastAsia="宋体" w:cs="Times New Roman"/>
          <w:b/>
          <w:bCs/>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b/>
          <w:bCs/>
          <w:color w:val="000000" w:themeColor="text1"/>
          <w:sz w:val="24"/>
          <w:highlight w:val="none"/>
          <w:lang w:val="en-US" w:eastAsia="zh-CN"/>
          <w14:textFill>
            <w14:solidFill>
              <w14:schemeClr w14:val="tx1"/>
            </w14:solidFill>
          </w14:textFill>
        </w:rPr>
        <w:t>全文完</w:t>
      </w:r>
      <w:r>
        <w:rPr>
          <w:rFonts w:hint="eastAsia" w:ascii="Times New Roman" w:hAnsi="Times New Roman" w:eastAsia="宋体" w:cs="Times New Roman"/>
          <w:b/>
          <w:bCs/>
          <w:color w:val="000000" w:themeColor="text1"/>
          <w:sz w:val="24"/>
          <w:highlight w:val="none"/>
          <w:lang w:eastAsia="zh-CN"/>
          <w14:textFill>
            <w14:solidFill>
              <w14:schemeClr w14:val="tx1"/>
            </w14:solidFill>
          </w14:textFill>
        </w:rPr>
        <w:t>）</w:t>
      </w:r>
      <w:bookmarkEnd w:id="15"/>
      <w:bookmarkEnd w:id="16"/>
      <w:bookmarkEnd w:id="17"/>
      <w:bookmarkEnd w:id="18"/>
    </w:p>
    <w:sectPr>
      <w:footerReference r:id="rId9" w:type="first"/>
      <w:footerReference r:id="rId8" w:type="default"/>
      <w:pgSz w:w="11906" w:h="16838"/>
      <w:pgMar w:top="1440" w:right="1355" w:bottom="1440" w:left="1344"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00000000000000000"/>
    <w:charset w:val="86"/>
    <w:family w:val="auto"/>
    <w:pitch w:val="default"/>
    <w:sig w:usb0="00000000" w:usb1="00000000" w:usb2="0008201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Narrow">
    <w:altName w:val="Arial"/>
    <w:panose1 w:val="020B0606020202030204"/>
    <w:charset w:val="00"/>
    <w:family w:val="auto"/>
    <w:pitch w:val="default"/>
    <w:sig w:usb0="00000000" w:usb1="00000000" w:usb2="00000000" w:usb3="00000000" w:csb0="00000000" w:csb1="00000000"/>
  </w:font>
  <w:font w:name="Univers">
    <w:altName w:val="DejaVu Math TeX Gyre"/>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1D8C8">
    <w:pPr>
      <w:pStyle w:val="260"/>
      <w:framePr w:wrap="around" w:vAnchor="text" w:hAnchor="margin" w:xAlign="center" w:y="1"/>
      <w:rPr>
        <w:rStyle w:val="291"/>
      </w:rPr>
    </w:pPr>
    <w:r>
      <w:fldChar w:fldCharType="begin"/>
    </w:r>
    <w:r>
      <w:rPr>
        <w:rStyle w:val="291"/>
        <w:highlight w:val="white"/>
      </w:rPr>
      <w:instrText xml:space="preserve">PAGE  </w:instrText>
    </w:r>
    <w:r>
      <w:fldChar w:fldCharType="end"/>
    </w:r>
  </w:p>
  <w:p w14:paraId="411E62B3">
    <w:pPr>
      <w:pStyle w:val="2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4C3EF">
    <w:pPr>
      <w:pStyle w:val="260"/>
      <w:tabs>
        <w:tab w:val="center" w:pos="5046"/>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D4C99">
    <w:pPr>
      <w:pStyle w:val="2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0B7C0D9">
                          <w:pPr>
                            <w:pStyle w:val="260"/>
                          </w:pPr>
                          <w:r>
                            <w:fldChar w:fldCharType="begin"/>
                          </w:r>
                          <w:r>
                            <w:instrText xml:space="preserve"> PAGE  \* MERGEFORMAT </w:instrText>
                          </w:r>
                          <w:r>
                            <w:fldChar w:fldCharType="separate"/>
                          </w:r>
                          <w:r>
                            <w:t>25</w:t>
                          </w:r>
                          <w:r>
                            <w:fldChar w:fldCharType="end"/>
                          </w:r>
                        </w:p>
                        <w:p w14:paraId="0EEFBA4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0B7C0D9">
                    <w:pPr>
                      <w:pStyle w:val="260"/>
                    </w:pPr>
                    <w:r>
                      <w:fldChar w:fldCharType="begin"/>
                    </w:r>
                    <w:r>
                      <w:instrText xml:space="preserve"> PAGE  \* MERGEFORMAT </w:instrText>
                    </w:r>
                    <w:r>
                      <w:fldChar w:fldCharType="separate"/>
                    </w:r>
                    <w:r>
                      <w:t>25</w:t>
                    </w:r>
                    <w:r>
                      <w:fldChar w:fldCharType="end"/>
                    </w:r>
                  </w:p>
                  <w:p w14:paraId="0EEFBA4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94E00">
    <w:pPr>
      <w:pStyle w:val="260"/>
      <w:tabs>
        <w:tab w:val="center" w:pos="504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D07346B">
                          <w:pPr>
                            <w:pStyle w:val="260"/>
                            <w:tabs>
                              <w:tab w:val="clear" w:pos="4153"/>
                              <w:tab w:val="clear" w:pos="8306"/>
                            </w:tabs>
                          </w:pPr>
                          <w:r>
                            <w:fldChar w:fldCharType="begin"/>
                          </w:r>
                          <w:r>
                            <w:instrText xml:space="preserve"> PAGE  \* MERGEFORMAT </w:instrText>
                          </w:r>
                          <w:r>
                            <w:fldChar w:fldCharType="separate"/>
                          </w:r>
                          <w:r>
                            <w:t>0</w:t>
                          </w:r>
                          <w:r>
                            <w:fldChar w:fldCharType="end"/>
                          </w:r>
                        </w:p>
                        <w:p w14:paraId="7AC46C9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7D07346B">
                    <w:pPr>
                      <w:pStyle w:val="260"/>
                      <w:tabs>
                        <w:tab w:val="clear" w:pos="4153"/>
                        <w:tab w:val="clear" w:pos="8306"/>
                      </w:tabs>
                    </w:pPr>
                    <w:r>
                      <w:fldChar w:fldCharType="begin"/>
                    </w:r>
                    <w:r>
                      <w:instrText xml:space="preserve"> PAGE  \* MERGEFORMAT </w:instrText>
                    </w:r>
                    <w:r>
                      <w:fldChar w:fldCharType="separate"/>
                    </w:r>
                    <w:r>
                      <w:t>0</w:t>
                    </w:r>
                    <w:r>
                      <w:fldChar w:fldCharType="end"/>
                    </w:r>
                  </w:p>
                  <w:p w14:paraId="7AC46C94"/>
                </w:txbxContent>
              </v:textbox>
            </v:shape>
          </w:pict>
        </mc:Fallback>
      </mc:AlternateConten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77094">
    <w:pPr>
      <w:spacing w:line="167" w:lineRule="auto"/>
      <w:ind w:left="4430"/>
      <w:rPr>
        <w:rFonts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ED40897">
                          <w:pPr>
                            <w:pStyle w:val="260"/>
                          </w:pPr>
                          <w:r>
                            <w:fldChar w:fldCharType="begin"/>
                          </w:r>
                          <w:r>
                            <w:instrText xml:space="preserve"> PAGE  \* MERGEFORMAT </w:instrText>
                          </w:r>
                          <w:r>
                            <w:fldChar w:fldCharType="separate"/>
                          </w:r>
                          <w:r>
                            <w:t>50</w:t>
                          </w:r>
                          <w:r>
                            <w:fldChar w:fldCharType="end"/>
                          </w:r>
                        </w:p>
                        <w:p w14:paraId="7612910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4ED40897">
                    <w:pPr>
                      <w:pStyle w:val="260"/>
                    </w:pPr>
                    <w:r>
                      <w:fldChar w:fldCharType="begin"/>
                    </w:r>
                    <w:r>
                      <w:instrText xml:space="preserve"> PAGE  \* MERGEFORMAT </w:instrText>
                    </w:r>
                    <w:r>
                      <w:fldChar w:fldCharType="separate"/>
                    </w:r>
                    <w:r>
                      <w:t>50</w:t>
                    </w:r>
                    <w:r>
                      <w:fldChar w:fldCharType="end"/>
                    </w:r>
                  </w:p>
                  <w:p w14:paraId="76129108"/>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9284A">
    <w:pPr>
      <w:pStyle w:val="260"/>
      <w:ind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52C410D">
                          <w:pPr>
                            <w:pStyle w:val="260"/>
                          </w:pPr>
                          <w:r>
                            <w:fldChar w:fldCharType="begin"/>
                          </w:r>
                          <w:r>
                            <w:instrText xml:space="preserve"> PAGE  \* MERGEFORMAT </w:instrText>
                          </w:r>
                          <w:r>
                            <w:fldChar w:fldCharType="separate"/>
                          </w:r>
                          <w:r>
                            <w:t>28</w:t>
                          </w:r>
                          <w:r>
                            <w:fldChar w:fldCharType="end"/>
                          </w:r>
                        </w:p>
                        <w:p w14:paraId="6562485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252C410D">
                    <w:pPr>
                      <w:pStyle w:val="260"/>
                    </w:pPr>
                    <w:r>
                      <w:fldChar w:fldCharType="begin"/>
                    </w:r>
                    <w:r>
                      <w:instrText xml:space="preserve"> PAGE  \* MERGEFORMAT </w:instrText>
                    </w:r>
                    <w:r>
                      <w:fldChar w:fldCharType="separate"/>
                    </w:r>
                    <w:r>
                      <w:t>28</w:t>
                    </w:r>
                    <w:r>
                      <w:fldChar w:fldCharType="end"/>
                    </w:r>
                  </w:p>
                  <w:p w14:paraId="65624851"/>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65893">
    <w:pPr>
      <w:pStyle w:val="26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200AE"/>
    <w:rsid w:val="00733E26"/>
    <w:rsid w:val="00D26D9F"/>
    <w:rsid w:val="00EC1247"/>
    <w:rsid w:val="010C0502"/>
    <w:rsid w:val="01422176"/>
    <w:rsid w:val="016F0A91"/>
    <w:rsid w:val="01763BCE"/>
    <w:rsid w:val="01993D60"/>
    <w:rsid w:val="01FD7E4B"/>
    <w:rsid w:val="02647ECA"/>
    <w:rsid w:val="026B1259"/>
    <w:rsid w:val="027F6AB2"/>
    <w:rsid w:val="029F2C5A"/>
    <w:rsid w:val="03A74512"/>
    <w:rsid w:val="04073203"/>
    <w:rsid w:val="040A4D75"/>
    <w:rsid w:val="041B280B"/>
    <w:rsid w:val="04770389"/>
    <w:rsid w:val="047A0DCD"/>
    <w:rsid w:val="04B844FD"/>
    <w:rsid w:val="04C9670A"/>
    <w:rsid w:val="052676B9"/>
    <w:rsid w:val="054D2E98"/>
    <w:rsid w:val="059E36F3"/>
    <w:rsid w:val="05A603DF"/>
    <w:rsid w:val="05E12489"/>
    <w:rsid w:val="05F257ED"/>
    <w:rsid w:val="060C2D53"/>
    <w:rsid w:val="06222576"/>
    <w:rsid w:val="06475B39"/>
    <w:rsid w:val="065146AC"/>
    <w:rsid w:val="06E415DA"/>
    <w:rsid w:val="06EB1857"/>
    <w:rsid w:val="0721282E"/>
    <w:rsid w:val="07451607"/>
    <w:rsid w:val="07B05960"/>
    <w:rsid w:val="07E13D6B"/>
    <w:rsid w:val="07F13FAE"/>
    <w:rsid w:val="07F303B2"/>
    <w:rsid w:val="0878120F"/>
    <w:rsid w:val="0882554E"/>
    <w:rsid w:val="08931509"/>
    <w:rsid w:val="08B17BE1"/>
    <w:rsid w:val="08D15B8E"/>
    <w:rsid w:val="08E65ADD"/>
    <w:rsid w:val="09037DFC"/>
    <w:rsid w:val="09167A44"/>
    <w:rsid w:val="096A04BC"/>
    <w:rsid w:val="09A908B8"/>
    <w:rsid w:val="09B4068B"/>
    <w:rsid w:val="09B74D83"/>
    <w:rsid w:val="09C33728"/>
    <w:rsid w:val="0A3C7B7B"/>
    <w:rsid w:val="0A5D3B7D"/>
    <w:rsid w:val="0A892BC4"/>
    <w:rsid w:val="0ABF78DB"/>
    <w:rsid w:val="0AD07617"/>
    <w:rsid w:val="0B1701D0"/>
    <w:rsid w:val="0B460AB5"/>
    <w:rsid w:val="0B4E1717"/>
    <w:rsid w:val="0B925AA8"/>
    <w:rsid w:val="0BBE064B"/>
    <w:rsid w:val="0BCD088E"/>
    <w:rsid w:val="0C0D15D3"/>
    <w:rsid w:val="0C725932"/>
    <w:rsid w:val="0C913FB2"/>
    <w:rsid w:val="0CC021A1"/>
    <w:rsid w:val="0CF5079A"/>
    <w:rsid w:val="0D074274"/>
    <w:rsid w:val="0D091D9A"/>
    <w:rsid w:val="0D0A78C0"/>
    <w:rsid w:val="0D4C5A67"/>
    <w:rsid w:val="0D4C7ED9"/>
    <w:rsid w:val="0D795180"/>
    <w:rsid w:val="0D9E6986"/>
    <w:rsid w:val="0DB5188A"/>
    <w:rsid w:val="0DB8731C"/>
    <w:rsid w:val="0DD201F4"/>
    <w:rsid w:val="0E0E53E3"/>
    <w:rsid w:val="0E140D08"/>
    <w:rsid w:val="0E2A1FC8"/>
    <w:rsid w:val="0E43308A"/>
    <w:rsid w:val="0E48745E"/>
    <w:rsid w:val="0E567261"/>
    <w:rsid w:val="0E7E2314"/>
    <w:rsid w:val="0E926ADC"/>
    <w:rsid w:val="0EA42BE2"/>
    <w:rsid w:val="0ED50990"/>
    <w:rsid w:val="0ED66F12"/>
    <w:rsid w:val="0EEE7499"/>
    <w:rsid w:val="0F010976"/>
    <w:rsid w:val="0F0A1F40"/>
    <w:rsid w:val="0F1B7B63"/>
    <w:rsid w:val="0F39623B"/>
    <w:rsid w:val="0F5C7F5D"/>
    <w:rsid w:val="0F81030D"/>
    <w:rsid w:val="0FA027C1"/>
    <w:rsid w:val="0FB104C7"/>
    <w:rsid w:val="0FB326EA"/>
    <w:rsid w:val="0FCC70AF"/>
    <w:rsid w:val="0FEB5787"/>
    <w:rsid w:val="102A2A1F"/>
    <w:rsid w:val="104F3F68"/>
    <w:rsid w:val="105C48D7"/>
    <w:rsid w:val="10741C20"/>
    <w:rsid w:val="10A97373"/>
    <w:rsid w:val="10CC55B8"/>
    <w:rsid w:val="10E02E12"/>
    <w:rsid w:val="10F93ED3"/>
    <w:rsid w:val="113118BF"/>
    <w:rsid w:val="11EB4164"/>
    <w:rsid w:val="11F34DC7"/>
    <w:rsid w:val="120174E4"/>
    <w:rsid w:val="12087D77"/>
    <w:rsid w:val="12154D3D"/>
    <w:rsid w:val="123478B9"/>
    <w:rsid w:val="12505D75"/>
    <w:rsid w:val="12D93FBD"/>
    <w:rsid w:val="12E017EF"/>
    <w:rsid w:val="12EA653E"/>
    <w:rsid w:val="12F86B39"/>
    <w:rsid w:val="12F928B1"/>
    <w:rsid w:val="13717A4D"/>
    <w:rsid w:val="1377762E"/>
    <w:rsid w:val="13897791"/>
    <w:rsid w:val="13CC3B21"/>
    <w:rsid w:val="13E72709"/>
    <w:rsid w:val="13F14469"/>
    <w:rsid w:val="140A7706"/>
    <w:rsid w:val="141F00F5"/>
    <w:rsid w:val="144933C4"/>
    <w:rsid w:val="145A575E"/>
    <w:rsid w:val="14D26F15"/>
    <w:rsid w:val="14EB7FD7"/>
    <w:rsid w:val="155913E5"/>
    <w:rsid w:val="15614DDC"/>
    <w:rsid w:val="15DD3DC4"/>
    <w:rsid w:val="15E05662"/>
    <w:rsid w:val="15EA028F"/>
    <w:rsid w:val="15FA6724"/>
    <w:rsid w:val="160A4FD3"/>
    <w:rsid w:val="16225C7A"/>
    <w:rsid w:val="164125A5"/>
    <w:rsid w:val="16557DFE"/>
    <w:rsid w:val="166E0EC0"/>
    <w:rsid w:val="16A20B69"/>
    <w:rsid w:val="16DF3B6C"/>
    <w:rsid w:val="1703785A"/>
    <w:rsid w:val="170D2487"/>
    <w:rsid w:val="17134607"/>
    <w:rsid w:val="17326391"/>
    <w:rsid w:val="17433C59"/>
    <w:rsid w:val="174560C4"/>
    <w:rsid w:val="175B1444"/>
    <w:rsid w:val="179E46BB"/>
    <w:rsid w:val="17D01916"/>
    <w:rsid w:val="17F84EE5"/>
    <w:rsid w:val="18001FEB"/>
    <w:rsid w:val="181D0DEF"/>
    <w:rsid w:val="18245CDA"/>
    <w:rsid w:val="184C5231"/>
    <w:rsid w:val="18DE232D"/>
    <w:rsid w:val="18F2402A"/>
    <w:rsid w:val="18F97167"/>
    <w:rsid w:val="18FA2EF1"/>
    <w:rsid w:val="19120228"/>
    <w:rsid w:val="192166BD"/>
    <w:rsid w:val="192C54AB"/>
    <w:rsid w:val="1977452F"/>
    <w:rsid w:val="199E1ABC"/>
    <w:rsid w:val="19DF6A36"/>
    <w:rsid w:val="19EF2318"/>
    <w:rsid w:val="1A0062D3"/>
    <w:rsid w:val="1A295829"/>
    <w:rsid w:val="1A310B82"/>
    <w:rsid w:val="1A6B4094"/>
    <w:rsid w:val="1A9D34EA"/>
    <w:rsid w:val="1ACE77E4"/>
    <w:rsid w:val="1ADA2FC8"/>
    <w:rsid w:val="1AE16104"/>
    <w:rsid w:val="1B770ABF"/>
    <w:rsid w:val="1B8B6070"/>
    <w:rsid w:val="1B8F790E"/>
    <w:rsid w:val="1B9C57D8"/>
    <w:rsid w:val="1BA608FB"/>
    <w:rsid w:val="1BE547F8"/>
    <w:rsid w:val="1C112A19"/>
    <w:rsid w:val="1C5841A4"/>
    <w:rsid w:val="1C7D28EA"/>
    <w:rsid w:val="1CDF48C5"/>
    <w:rsid w:val="1D291FE4"/>
    <w:rsid w:val="1D37200B"/>
    <w:rsid w:val="1D65301C"/>
    <w:rsid w:val="1D7F39B2"/>
    <w:rsid w:val="1DCA7323"/>
    <w:rsid w:val="1DDB5958"/>
    <w:rsid w:val="1DFE6FCD"/>
    <w:rsid w:val="1E4744D0"/>
    <w:rsid w:val="1EDD4E34"/>
    <w:rsid w:val="1F7F7C9A"/>
    <w:rsid w:val="1FB2006F"/>
    <w:rsid w:val="1FD06747"/>
    <w:rsid w:val="204A474C"/>
    <w:rsid w:val="204D1B46"/>
    <w:rsid w:val="2067508B"/>
    <w:rsid w:val="20707C68"/>
    <w:rsid w:val="20CE2C87"/>
    <w:rsid w:val="20E97AC1"/>
    <w:rsid w:val="20F63D5F"/>
    <w:rsid w:val="20FF1092"/>
    <w:rsid w:val="2181419D"/>
    <w:rsid w:val="21AE1E97"/>
    <w:rsid w:val="22356D36"/>
    <w:rsid w:val="224A27E1"/>
    <w:rsid w:val="22592A24"/>
    <w:rsid w:val="226F3F88"/>
    <w:rsid w:val="228757E3"/>
    <w:rsid w:val="22C02D72"/>
    <w:rsid w:val="22C04851"/>
    <w:rsid w:val="23024628"/>
    <w:rsid w:val="231E77CA"/>
    <w:rsid w:val="2322375E"/>
    <w:rsid w:val="2342795C"/>
    <w:rsid w:val="237C00A2"/>
    <w:rsid w:val="239F4DAE"/>
    <w:rsid w:val="23B819CC"/>
    <w:rsid w:val="23BF50C8"/>
    <w:rsid w:val="23C640E9"/>
    <w:rsid w:val="243E45C7"/>
    <w:rsid w:val="245E4322"/>
    <w:rsid w:val="248A3369"/>
    <w:rsid w:val="248F097F"/>
    <w:rsid w:val="24AC4908"/>
    <w:rsid w:val="24D6035C"/>
    <w:rsid w:val="24D97E4C"/>
    <w:rsid w:val="25302162"/>
    <w:rsid w:val="25382DC5"/>
    <w:rsid w:val="258B383C"/>
    <w:rsid w:val="25B06DFF"/>
    <w:rsid w:val="25FA62CC"/>
    <w:rsid w:val="26396DF4"/>
    <w:rsid w:val="26435EC5"/>
    <w:rsid w:val="26461511"/>
    <w:rsid w:val="26812549"/>
    <w:rsid w:val="26A821CC"/>
    <w:rsid w:val="26F96584"/>
    <w:rsid w:val="26FB22FC"/>
    <w:rsid w:val="2702368A"/>
    <w:rsid w:val="270A3FE0"/>
    <w:rsid w:val="272A0E33"/>
    <w:rsid w:val="2762237B"/>
    <w:rsid w:val="27673E35"/>
    <w:rsid w:val="27992FAE"/>
    <w:rsid w:val="27CB3CE5"/>
    <w:rsid w:val="28553C8E"/>
    <w:rsid w:val="285D7D22"/>
    <w:rsid w:val="2874680A"/>
    <w:rsid w:val="287A36F4"/>
    <w:rsid w:val="28836A4D"/>
    <w:rsid w:val="28CD1A76"/>
    <w:rsid w:val="29300F85"/>
    <w:rsid w:val="294A1318"/>
    <w:rsid w:val="299F78B6"/>
    <w:rsid w:val="29F319B0"/>
    <w:rsid w:val="2B473D61"/>
    <w:rsid w:val="2B65068C"/>
    <w:rsid w:val="2B6D12EE"/>
    <w:rsid w:val="2B7A69DC"/>
    <w:rsid w:val="2B966A97"/>
    <w:rsid w:val="2BF33EE9"/>
    <w:rsid w:val="2BF8505C"/>
    <w:rsid w:val="2C0C4FAB"/>
    <w:rsid w:val="2C0E487F"/>
    <w:rsid w:val="2C820DC9"/>
    <w:rsid w:val="2CA13945"/>
    <w:rsid w:val="2CB27900"/>
    <w:rsid w:val="2CC94C4A"/>
    <w:rsid w:val="2CCB2770"/>
    <w:rsid w:val="2D00468F"/>
    <w:rsid w:val="2D1934DC"/>
    <w:rsid w:val="2D220C1D"/>
    <w:rsid w:val="2D4A7B39"/>
    <w:rsid w:val="2D7B5F44"/>
    <w:rsid w:val="2DE55010"/>
    <w:rsid w:val="2E4E5407"/>
    <w:rsid w:val="2E7C6894"/>
    <w:rsid w:val="2E7F1A64"/>
    <w:rsid w:val="2EC35C05"/>
    <w:rsid w:val="2EE1627B"/>
    <w:rsid w:val="2EFE507F"/>
    <w:rsid w:val="2F0E4B96"/>
    <w:rsid w:val="2F2820FC"/>
    <w:rsid w:val="2F307202"/>
    <w:rsid w:val="2F61564E"/>
    <w:rsid w:val="2F9E5F1A"/>
    <w:rsid w:val="2FA31782"/>
    <w:rsid w:val="2FB4573E"/>
    <w:rsid w:val="2FE853E7"/>
    <w:rsid w:val="2FEC4ED7"/>
    <w:rsid w:val="300D507E"/>
    <w:rsid w:val="301461DC"/>
    <w:rsid w:val="30542A7D"/>
    <w:rsid w:val="30586A11"/>
    <w:rsid w:val="306929CC"/>
    <w:rsid w:val="318A2BFA"/>
    <w:rsid w:val="31CF685F"/>
    <w:rsid w:val="32075FF9"/>
    <w:rsid w:val="32267D53"/>
    <w:rsid w:val="3234700A"/>
    <w:rsid w:val="328268AA"/>
    <w:rsid w:val="328E3B10"/>
    <w:rsid w:val="32A61CB5"/>
    <w:rsid w:val="32D16607"/>
    <w:rsid w:val="32E620B2"/>
    <w:rsid w:val="33152997"/>
    <w:rsid w:val="33295355"/>
    <w:rsid w:val="333A0650"/>
    <w:rsid w:val="333D3C9C"/>
    <w:rsid w:val="338813BB"/>
    <w:rsid w:val="33F67B02"/>
    <w:rsid w:val="343B7732"/>
    <w:rsid w:val="34727975"/>
    <w:rsid w:val="349A75F8"/>
    <w:rsid w:val="34B54432"/>
    <w:rsid w:val="34BE0E27"/>
    <w:rsid w:val="351D5B33"/>
    <w:rsid w:val="35702107"/>
    <w:rsid w:val="35A818A1"/>
    <w:rsid w:val="35C97A69"/>
    <w:rsid w:val="35E66919"/>
    <w:rsid w:val="35F40F8A"/>
    <w:rsid w:val="36064819"/>
    <w:rsid w:val="3608233F"/>
    <w:rsid w:val="367479D5"/>
    <w:rsid w:val="36961681"/>
    <w:rsid w:val="36980F17"/>
    <w:rsid w:val="36F34D9D"/>
    <w:rsid w:val="36FD79CA"/>
    <w:rsid w:val="374C0952"/>
    <w:rsid w:val="375F2433"/>
    <w:rsid w:val="37667C65"/>
    <w:rsid w:val="37753A04"/>
    <w:rsid w:val="37E1553E"/>
    <w:rsid w:val="3801173C"/>
    <w:rsid w:val="380A05F1"/>
    <w:rsid w:val="382A2A41"/>
    <w:rsid w:val="383A69FC"/>
    <w:rsid w:val="387168C2"/>
    <w:rsid w:val="388A7983"/>
    <w:rsid w:val="38995E18"/>
    <w:rsid w:val="389B2048"/>
    <w:rsid w:val="38DB3D3B"/>
    <w:rsid w:val="38E47094"/>
    <w:rsid w:val="38EA6674"/>
    <w:rsid w:val="38EE5BDE"/>
    <w:rsid w:val="38EE7B2F"/>
    <w:rsid w:val="390A2872"/>
    <w:rsid w:val="391C6A9E"/>
    <w:rsid w:val="392B4CC2"/>
    <w:rsid w:val="39BF5E19"/>
    <w:rsid w:val="39E66E3B"/>
    <w:rsid w:val="39E92488"/>
    <w:rsid w:val="39F350B4"/>
    <w:rsid w:val="39F83C4E"/>
    <w:rsid w:val="3A7E7074"/>
    <w:rsid w:val="3AAE21C4"/>
    <w:rsid w:val="3AB72586"/>
    <w:rsid w:val="3AD142D6"/>
    <w:rsid w:val="3AE35129"/>
    <w:rsid w:val="3B2E0A9A"/>
    <w:rsid w:val="3B3360B0"/>
    <w:rsid w:val="3B385990"/>
    <w:rsid w:val="3B542821"/>
    <w:rsid w:val="3B820DE6"/>
    <w:rsid w:val="3B9A612F"/>
    <w:rsid w:val="3BC0787B"/>
    <w:rsid w:val="3BD776F8"/>
    <w:rsid w:val="3C3C2D43"/>
    <w:rsid w:val="3CA54D8C"/>
    <w:rsid w:val="3CAE0AD9"/>
    <w:rsid w:val="3D0C0967"/>
    <w:rsid w:val="3D4E71D1"/>
    <w:rsid w:val="3DCB0822"/>
    <w:rsid w:val="3DDE5147"/>
    <w:rsid w:val="3DE6565C"/>
    <w:rsid w:val="3DEB2C72"/>
    <w:rsid w:val="3DF62C05"/>
    <w:rsid w:val="3DFD4754"/>
    <w:rsid w:val="3E23065E"/>
    <w:rsid w:val="3E304B29"/>
    <w:rsid w:val="3E524A9F"/>
    <w:rsid w:val="3E5A1BA6"/>
    <w:rsid w:val="3E864749"/>
    <w:rsid w:val="3E8D3D29"/>
    <w:rsid w:val="3E9D766C"/>
    <w:rsid w:val="3EAF1EF2"/>
    <w:rsid w:val="3EE14F64"/>
    <w:rsid w:val="3EEB27FE"/>
    <w:rsid w:val="3EFD5318"/>
    <w:rsid w:val="3F0763D8"/>
    <w:rsid w:val="3F3C12AC"/>
    <w:rsid w:val="3F4E55F8"/>
    <w:rsid w:val="3F514D57"/>
    <w:rsid w:val="3F5465F5"/>
    <w:rsid w:val="3F56236D"/>
    <w:rsid w:val="3F8F3AD1"/>
    <w:rsid w:val="3FA4132B"/>
    <w:rsid w:val="3FA97950"/>
    <w:rsid w:val="3FAE752E"/>
    <w:rsid w:val="3FFF2A05"/>
    <w:rsid w:val="401B6EDB"/>
    <w:rsid w:val="404448BC"/>
    <w:rsid w:val="404623E2"/>
    <w:rsid w:val="40606104"/>
    <w:rsid w:val="406E36E7"/>
    <w:rsid w:val="407A652F"/>
    <w:rsid w:val="4105404B"/>
    <w:rsid w:val="41057DE0"/>
    <w:rsid w:val="41894696"/>
    <w:rsid w:val="41AE2CB2"/>
    <w:rsid w:val="41AE6491"/>
    <w:rsid w:val="41D1217F"/>
    <w:rsid w:val="424C78B4"/>
    <w:rsid w:val="425A2175"/>
    <w:rsid w:val="427F0BB3"/>
    <w:rsid w:val="428617AE"/>
    <w:rsid w:val="42892A5A"/>
    <w:rsid w:val="42B5384F"/>
    <w:rsid w:val="42BC698B"/>
    <w:rsid w:val="42C341BE"/>
    <w:rsid w:val="42D47A59"/>
    <w:rsid w:val="432F3601"/>
    <w:rsid w:val="433E3844"/>
    <w:rsid w:val="436A288B"/>
    <w:rsid w:val="436C03B1"/>
    <w:rsid w:val="43741B19"/>
    <w:rsid w:val="43943464"/>
    <w:rsid w:val="43A226A8"/>
    <w:rsid w:val="43A37B4B"/>
    <w:rsid w:val="43B50336"/>
    <w:rsid w:val="43C024AB"/>
    <w:rsid w:val="43C31F9B"/>
    <w:rsid w:val="43D441A9"/>
    <w:rsid w:val="43EA7528"/>
    <w:rsid w:val="44056110"/>
    <w:rsid w:val="440700DA"/>
    <w:rsid w:val="44085CAA"/>
    <w:rsid w:val="44184095"/>
    <w:rsid w:val="443C4228"/>
    <w:rsid w:val="44641089"/>
    <w:rsid w:val="44DD0E3B"/>
    <w:rsid w:val="451E56DB"/>
    <w:rsid w:val="45270EB2"/>
    <w:rsid w:val="452847AC"/>
    <w:rsid w:val="453346A3"/>
    <w:rsid w:val="45372C41"/>
    <w:rsid w:val="458957D7"/>
    <w:rsid w:val="45DE130F"/>
    <w:rsid w:val="45E524CA"/>
    <w:rsid w:val="46492C2C"/>
    <w:rsid w:val="469519CD"/>
    <w:rsid w:val="46AB11F1"/>
    <w:rsid w:val="46B1257F"/>
    <w:rsid w:val="46BA58D8"/>
    <w:rsid w:val="46D22C21"/>
    <w:rsid w:val="46D63D94"/>
    <w:rsid w:val="46F10BCE"/>
    <w:rsid w:val="47185450"/>
    <w:rsid w:val="474B4782"/>
    <w:rsid w:val="476E221E"/>
    <w:rsid w:val="478D4D9A"/>
    <w:rsid w:val="47941C85"/>
    <w:rsid w:val="47CA38F8"/>
    <w:rsid w:val="47E764EE"/>
    <w:rsid w:val="48671147"/>
    <w:rsid w:val="486F26F2"/>
    <w:rsid w:val="488C6B3A"/>
    <w:rsid w:val="493A2D00"/>
    <w:rsid w:val="497F6965"/>
    <w:rsid w:val="49886145"/>
    <w:rsid w:val="498B70B7"/>
    <w:rsid w:val="49BE123B"/>
    <w:rsid w:val="49C66341"/>
    <w:rsid w:val="49F20EE5"/>
    <w:rsid w:val="49F27137"/>
    <w:rsid w:val="4A070E34"/>
    <w:rsid w:val="4A1452FF"/>
    <w:rsid w:val="4A527BD5"/>
    <w:rsid w:val="4A9621B8"/>
    <w:rsid w:val="4AA246B9"/>
    <w:rsid w:val="4AB83EDC"/>
    <w:rsid w:val="4ACF7478"/>
    <w:rsid w:val="4B010506"/>
    <w:rsid w:val="4B3F2425"/>
    <w:rsid w:val="4B5F07FC"/>
    <w:rsid w:val="4B620BEB"/>
    <w:rsid w:val="4B7F49FA"/>
    <w:rsid w:val="4B95246F"/>
    <w:rsid w:val="4BB075EA"/>
    <w:rsid w:val="4BE40D01"/>
    <w:rsid w:val="4C0373D9"/>
    <w:rsid w:val="4C1635B0"/>
    <w:rsid w:val="4C392DFB"/>
    <w:rsid w:val="4D371A30"/>
    <w:rsid w:val="4D671BE9"/>
    <w:rsid w:val="4D8B1D7C"/>
    <w:rsid w:val="4D970721"/>
    <w:rsid w:val="4DD92AE7"/>
    <w:rsid w:val="4DE4323A"/>
    <w:rsid w:val="4E170043"/>
    <w:rsid w:val="4E453CD9"/>
    <w:rsid w:val="4E4A7541"/>
    <w:rsid w:val="4E8F764A"/>
    <w:rsid w:val="4E9D1D67"/>
    <w:rsid w:val="4ECB5913"/>
    <w:rsid w:val="4EEE4370"/>
    <w:rsid w:val="4F061241"/>
    <w:rsid w:val="4F334479"/>
    <w:rsid w:val="4F4A531F"/>
    <w:rsid w:val="4F5C39D0"/>
    <w:rsid w:val="4F6C1739"/>
    <w:rsid w:val="4FBF5D0D"/>
    <w:rsid w:val="4FD73056"/>
    <w:rsid w:val="4FDC241B"/>
    <w:rsid w:val="500D6A78"/>
    <w:rsid w:val="502A762A"/>
    <w:rsid w:val="5031628B"/>
    <w:rsid w:val="50463D38"/>
    <w:rsid w:val="50566671"/>
    <w:rsid w:val="50576E25"/>
    <w:rsid w:val="50666188"/>
    <w:rsid w:val="509A7FB9"/>
    <w:rsid w:val="50A04809"/>
    <w:rsid w:val="50A70C7B"/>
    <w:rsid w:val="51036FE5"/>
    <w:rsid w:val="51654692"/>
    <w:rsid w:val="517843C5"/>
    <w:rsid w:val="51BF3DA2"/>
    <w:rsid w:val="52045C59"/>
    <w:rsid w:val="522E0F28"/>
    <w:rsid w:val="52497B10"/>
    <w:rsid w:val="527B23BF"/>
    <w:rsid w:val="529C40E3"/>
    <w:rsid w:val="52BF7DD2"/>
    <w:rsid w:val="52F263F9"/>
    <w:rsid w:val="532C5467"/>
    <w:rsid w:val="53963229"/>
    <w:rsid w:val="53D476A7"/>
    <w:rsid w:val="53F1045F"/>
    <w:rsid w:val="544607AB"/>
    <w:rsid w:val="5492579E"/>
    <w:rsid w:val="54A43723"/>
    <w:rsid w:val="54D062C6"/>
    <w:rsid w:val="54D51B2F"/>
    <w:rsid w:val="54D538DD"/>
    <w:rsid w:val="54DF49F5"/>
    <w:rsid w:val="550B5550"/>
    <w:rsid w:val="553E76D4"/>
    <w:rsid w:val="5552317F"/>
    <w:rsid w:val="5563538C"/>
    <w:rsid w:val="55654C60"/>
    <w:rsid w:val="55ED715E"/>
    <w:rsid w:val="562C39D0"/>
    <w:rsid w:val="5630526E"/>
    <w:rsid w:val="563A7E9B"/>
    <w:rsid w:val="56494582"/>
    <w:rsid w:val="5664013B"/>
    <w:rsid w:val="5685728D"/>
    <w:rsid w:val="56C875B7"/>
    <w:rsid w:val="56F444EE"/>
    <w:rsid w:val="57776ECD"/>
    <w:rsid w:val="577B4C0F"/>
    <w:rsid w:val="57CE11E3"/>
    <w:rsid w:val="57FB7AFE"/>
    <w:rsid w:val="581373FA"/>
    <w:rsid w:val="58A9755A"/>
    <w:rsid w:val="58B54151"/>
    <w:rsid w:val="58C44394"/>
    <w:rsid w:val="59164BBB"/>
    <w:rsid w:val="593037D7"/>
    <w:rsid w:val="59350ABE"/>
    <w:rsid w:val="59512650"/>
    <w:rsid w:val="59822285"/>
    <w:rsid w:val="59850540"/>
    <w:rsid w:val="59883613"/>
    <w:rsid w:val="59F44805"/>
    <w:rsid w:val="5A61633E"/>
    <w:rsid w:val="5A756C5D"/>
    <w:rsid w:val="5AE0479A"/>
    <w:rsid w:val="5AEE74A6"/>
    <w:rsid w:val="5B247662"/>
    <w:rsid w:val="5B417F1E"/>
    <w:rsid w:val="5B863B83"/>
    <w:rsid w:val="5B9A173A"/>
    <w:rsid w:val="5BA67D81"/>
    <w:rsid w:val="5BB73D3C"/>
    <w:rsid w:val="5BD14DFE"/>
    <w:rsid w:val="5BD60666"/>
    <w:rsid w:val="5BDD120C"/>
    <w:rsid w:val="5BE52A38"/>
    <w:rsid w:val="5BED775E"/>
    <w:rsid w:val="5BFB631F"/>
    <w:rsid w:val="5BFE5E0F"/>
    <w:rsid w:val="5C0E3D80"/>
    <w:rsid w:val="5C593045"/>
    <w:rsid w:val="5C910581"/>
    <w:rsid w:val="5CA442C0"/>
    <w:rsid w:val="5CAC13C7"/>
    <w:rsid w:val="5CB14C2F"/>
    <w:rsid w:val="5CC42BB4"/>
    <w:rsid w:val="5CFF599B"/>
    <w:rsid w:val="5D0F6E2D"/>
    <w:rsid w:val="5D1B794C"/>
    <w:rsid w:val="5D292A17"/>
    <w:rsid w:val="5D526412"/>
    <w:rsid w:val="5D602736"/>
    <w:rsid w:val="5D647EF4"/>
    <w:rsid w:val="5D656145"/>
    <w:rsid w:val="5D752101"/>
    <w:rsid w:val="5D883BE2"/>
    <w:rsid w:val="5DAD189A"/>
    <w:rsid w:val="5DC421E6"/>
    <w:rsid w:val="5E005E6E"/>
    <w:rsid w:val="5E101F5A"/>
    <w:rsid w:val="5E257683"/>
    <w:rsid w:val="5E331DA0"/>
    <w:rsid w:val="5E602469"/>
    <w:rsid w:val="5E655CD1"/>
    <w:rsid w:val="5E736640"/>
    <w:rsid w:val="5E993BCD"/>
    <w:rsid w:val="5EBB7FE7"/>
    <w:rsid w:val="5EDF5A84"/>
    <w:rsid w:val="5EE66E12"/>
    <w:rsid w:val="5EF3152F"/>
    <w:rsid w:val="5F7679C4"/>
    <w:rsid w:val="5F860D1E"/>
    <w:rsid w:val="5FD2383A"/>
    <w:rsid w:val="5FE175D9"/>
    <w:rsid w:val="5FFC4413"/>
    <w:rsid w:val="60234A2C"/>
    <w:rsid w:val="60261BC5"/>
    <w:rsid w:val="605B738C"/>
    <w:rsid w:val="606F4BE5"/>
    <w:rsid w:val="607F0855"/>
    <w:rsid w:val="60912DAE"/>
    <w:rsid w:val="60BB7E2A"/>
    <w:rsid w:val="60E05AE3"/>
    <w:rsid w:val="60E27AAD"/>
    <w:rsid w:val="60E6759D"/>
    <w:rsid w:val="60E97F02"/>
    <w:rsid w:val="610E43FE"/>
    <w:rsid w:val="61204131"/>
    <w:rsid w:val="6126799A"/>
    <w:rsid w:val="61306A6A"/>
    <w:rsid w:val="61534507"/>
    <w:rsid w:val="617F354E"/>
    <w:rsid w:val="619A1A3F"/>
    <w:rsid w:val="61B74A96"/>
    <w:rsid w:val="61FE4473"/>
    <w:rsid w:val="621A4DB8"/>
    <w:rsid w:val="623460E6"/>
    <w:rsid w:val="624A590A"/>
    <w:rsid w:val="62570027"/>
    <w:rsid w:val="625E795C"/>
    <w:rsid w:val="62620EA5"/>
    <w:rsid w:val="626D33A6"/>
    <w:rsid w:val="62B40FD5"/>
    <w:rsid w:val="62B815BD"/>
    <w:rsid w:val="62D82F16"/>
    <w:rsid w:val="63247F09"/>
    <w:rsid w:val="632E0D88"/>
    <w:rsid w:val="634C56B2"/>
    <w:rsid w:val="63500CFE"/>
    <w:rsid w:val="63660521"/>
    <w:rsid w:val="63745085"/>
    <w:rsid w:val="641A130C"/>
    <w:rsid w:val="641E2BAA"/>
    <w:rsid w:val="64236413"/>
    <w:rsid w:val="645E569D"/>
    <w:rsid w:val="647629E6"/>
    <w:rsid w:val="64970BAF"/>
    <w:rsid w:val="649E018F"/>
    <w:rsid w:val="64B451CC"/>
    <w:rsid w:val="651144BD"/>
    <w:rsid w:val="653A1C66"/>
    <w:rsid w:val="655F791E"/>
    <w:rsid w:val="65605444"/>
    <w:rsid w:val="65697078"/>
    <w:rsid w:val="65C43C25"/>
    <w:rsid w:val="65E25E59"/>
    <w:rsid w:val="65ED6CD8"/>
    <w:rsid w:val="66217325"/>
    <w:rsid w:val="66240220"/>
    <w:rsid w:val="662446C4"/>
    <w:rsid w:val="664301B7"/>
    <w:rsid w:val="66C20165"/>
    <w:rsid w:val="670859D2"/>
    <w:rsid w:val="672A5D0A"/>
    <w:rsid w:val="67694A84"/>
    <w:rsid w:val="6784366C"/>
    <w:rsid w:val="67E45EB9"/>
    <w:rsid w:val="681744E0"/>
    <w:rsid w:val="685257B7"/>
    <w:rsid w:val="688222C7"/>
    <w:rsid w:val="68AA5354"/>
    <w:rsid w:val="68AD274F"/>
    <w:rsid w:val="68AD6BF3"/>
    <w:rsid w:val="68AF64C7"/>
    <w:rsid w:val="68F0088D"/>
    <w:rsid w:val="69147F69"/>
    <w:rsid w:val="697119CE"/>
    <w:rsid w:val="699212A6"/>
    <w:rsid w:val="69992CD3"/>
    <w:rsid w:val="69AC0C58"/>
    <w:rsid w:val="6A0171F6"/>
    <w:rsid w:val="6A1F439D"/>
    <w:rsid w:val="6A3F6C07"/>
    <w:rsid w:val="6A4B322E"/>
    <w:rsid w:val="6A503CD9"/>
    <w:rsid w:val="6AC2736C"/>
    <w:rsid w:val="6B5C220A"/>
    <w:rsid w:val="6B6D2669"/>
    <w:rsid w:val="6B851761"/>
    <w:rsid w:val="6BCA1FF3"/>
    <w:rsid w:val="6BF54B38"/>
    <w:rsid w:val="6C096B82"/>
    <w:rsid w:val="6C913DC1"/>
    <w:rsid w:val="6CA43E69"/>
    <w:rsid w:val="6D147240"/>
    <w:rsid w:val="6D5B6C1D"/>
    <w:rsid w:val="6D785A21"/>
    <w:rsid w:val="6D885538"/>
    <w:rsid w:val="6D8A61D8"/>
    <w:rsid w:val="6DBC51E2"/>
    <w:rsid w:val="6DC8325A"/>
    <w:rsid w:val="6E3A2CD6"/>
    <w:rsid w:val="6E3B6A4F"/>
    <w:rsid w:val="6E7855AD"/>
    <w:rsid w:val="6EB51AA6"/>
    <w:rsid w:val="6EDC3D8E"/>
    <w:rsid w:val="6F20011E"/>
    <w:rsid w:val="6F23376B"/>
    <w:rsid w:val="6F280D81"/>
    <w:rsid w:val="6F2A4AF9"/>
    <w:rsid w:val="6F5558EE"/>
    <w:rsid w:val="6F6B5112"/>
    <w:rsid w:val="6F810491"/>
    <w:rsid w:val="6F886268"/>
    <w:rsid w:val="6FEF7AF1"/>
    <w:rsid w:val="700C58CB"/>
    <w:rsid w:val="70716758"/>
    <w:rsid w:val="70860455"/>
    <w:rsid w:val="709D782C"/>
    <w:rsid w:val="70C20D61"/>
    <w:rsid w:val="70D016D0"/>
    <w:rsid w:val="711315BD"/>
    <w:rsid w:val="712437CA"/>
    <w:rsid w:val="713734FD"/>
    <w:rsid w:val="713F0604"/>
    <w:rsid w:val="71597917"/>
    <w:rsid w:val="71AC60D7"/>
    <w:rsid w:val="71B0505E"/>
    <w:rsid w:val="71D13952"/>
    <w:rsid w:val="71D945B4"/>
    <w:rsid w:val="71DC5E53"/>
    <w:rsid w:val="72023B0B"/>
    <w:rsid w:val="722241AD"/>
    <w:rsid w:val="726C367A"/>
    <w:rsid w:val="72A2709C"/>
    <w:rsid w:val="72A66B8C"/>
    <w:rsid w:val="72EB4614"/>
    <w:rsid w:val="732301DD"/>
    <w:rsid w:val="738239FA"/>
    <w:rsid w:val="73D2575F"/>
    <w:rsid w:val="740C0200"/>
    <w:rsid w:val="743E69D6"/>
    <w:rsid w:val="7460720F"/>
    <w:rsid w:val="74A37759"/>
    <w:rsid w:val="74A72748"/>
    <w:rsid w:val="74CE23CA"/>
    <w:rsid w:val="74E120FE"/>
    <w:rsid w:val="74E4574A"/>
    <w:rsid w:val="74F02341"/>
    <w:rsid w:val="74F31E31"/>
    <w:rsid w:val="74FB2A94"/>
    <w:rsid w:val="750366C2"/>
    <w:rsid w:val="75071439"/>
    <w:rsid w:val="751122B7"/>
    <w:rsid w:val="752244C4"/>
    <w:rsid w:val="754F3E5F"/>
    <w:rsid w:val="75564BA8"/>
    <w:rsid w:val="75693EA1"/>
    <w:rsid w:val="75826D11"/>
    <w:rsid w:val="75A1363B"/>
    <w:rsid w:val="75AB4B6F"/>
    <w:rsid w:val="75B23A9A"/>
    <w:rsid w:val="75F31FB9"/>
    <w:rsid w:val="76053DC8"/>
    <w:rsid w:val="766823AB"/>
    <w:rsid w:val="766E5C13"/>
    <w:rsid w:val="767945B8"/>
    <w:rsid w:val="768D3BBF"/>
    <w:rsid w:val="769D3E02"/>
    <w:rsid w:val="76C53359"/>
    <w:rsid w:val="76D57A40"/>
    <w:rsid w:val="77862AE9"/>
    <w:rsid w:val="779D6084"/>
    <w:rsid w:val="77E912C9"/>
    <w:rsid w:val="77FC724F"/>
    <w:rsid w:val="781520BE"/>
    <w:rsid w:val="783E33C3"/>
    <w:rsid w:val="78B2790D"/>
    <w:rsid w:val="78CC306B"/>
    <w:rsid w:val="78D517BA"/>
    <w:rsid w:val="79190D49"/>
    <w:rsid w:val="793B620D"/>
    <w:rsid w:val="79507852"/>
    <w:rsid w:val="795E32FD"/>
    <w:rsid w:val="79927E6B"/>
    <w:rsid w:val="79A4215C"/>
    <w:rsid w:val="7A044199"/>
    <w:rsid w:val="7A15284A"/>
    <w:rsid w:val="7A3C1B84"/>
    <w:rsid w:val="7A5039A1"/>
    <w:rsid w:val="7A5D1F16"/>
    <w:rsid w:val="7A651C7D"/>
    <w:rsid w:val="7A756E44"/>
    <w:rsid w:val="7A8F5E97"/>
    <w:rsid w:val="7A9D4D04"/>
    <w:rsid w:val="7AD7044B"/>
    <w:rsid w:val="7B0703E4"/>
    <w:rsid w:val="7B3665D4"/>
    <w:rsid w:val="7B7D2454"/>
    <w:rsid w:val="7B845591"/>
    <w:rsid w:val="7BEB5610"/>
    <w:rsid w:val="7C0641F8"/>
    <w:rsid w:val="7C6361AD"/>
    <w:rsid w:val="7C9712F4"/>
    <w:rsid w:val="7CC145C3"/>
    <w:rsid w:val="7CCB71F0"/>
    <w:rsid w:val="7CE5489D"/>
    <w:rsid w:val="7CF90201"/>
    <w:rsid w:val="7D07647A"/>
    <w:rsid w:val="7D380D29"/>
    <w:rsid w:val="7D951CD7"/>
    <w:rsid w:val="7DAC0DCF"/>
    <w:rsid w:val="7DC26844"/>
    <w:rsid w:val="7E024E93"/>
    <w:rsid w:val="7E1352F2"/>
    <w:rsid w:val="7E704F9D"/>
    <w:rsid w:val="7E8245BA"/>
    <w:rsid w:val="7E996A44"/>
    <w:rsid w:val="7EB477BF"/>
    <w:rsid w:val="7EB663A9"/>
    <w:rsid w:val="7ED44A81"/>
    <w:rsid w:val="7EE541BF"/>
    <w:rsid w:val="7EFB200E"/>
    <w:rsid w:val="7F2350C1"/>
    <w:rsid w:val="7F8E2E82"/>
    <w:rsid w:val="7F935909"/>
    <w:rsid w:val="7F954211"/>
    <w:rsid w:val="7FD91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52"/>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66"/>
    <w:qFormat/>
    <w:uiPriority w:val="9"/>
    <w:pPr>
      <w:keepNext/>
      <w:keepLines/>
      <w:spacing w:line="360" w:lineRule="auto"/>
      <w:outlineLvl w:val="0"/>
    </w:pPr>
    <w:rPr>
      <w:rFonts w:ascii="Arial" w:hAnsi="Arial" w:eastAsia="黑体" w:cs="Arial"/>
      <w:sz w:val="40"/>
      <w:szCs w:val="40"/>
    </w:rPr>
  </w:style>
  <w:style w:type="paragraph" w:styleId="3">
    <w:name w:val="heading 2"/>
    <w:basedOn w:val="1"/>
    <w:next w:val="4"/>
    <w:link w:val="67"/>
    <w:unhideWhenUsed/>
    <w:qFormat/>
    <w:uiPriority w:val="9"/>
    <w:pPr>
      <w:keepNext/>
      <w:keepLines/>
      <w:spacing w:before="360" w:after="200" w:line="360" w:lineRule="auto"/>
      <w:jc w:val="left"/>
      <w:outlineLvl w:val="1"/>
    </w:pPr>
    <w:rPr>
      <w:rFonts w:ascii="Arial" w:hAnsi="Arial" w:eastAsia="宋体" w:cs="Arial"/>
      <w:b/>
      <w:sz w:val="28"/>
    </w:rPr>
  </w:style>
  <w:style w:type="paragraph" w:styleId="5">
    <w:name w:val="heading 3"/>
    <w:basedOn w:val="1"/>
    <w:next w:val="1"/>
    <w:link w:val="68"/>
    <w:unhideWhenUsed/>
    <w:qFormat/>
    <w:uiPriority w:val="9"/>
    <w:pPr>
      <w:keepNext/>
      <w:keepLines/>
      <w:spacing w:before="320" w:after="200" w:line="240" w:lineRule="auto"/>
      <w:jc w:val="left"/>
      <w:outlineLvl w:val="2"/>
    </w:pPr>
    <w:rPr>
      <w:rFonts w:ascii="Arial" w:hAnsi="Arial" w:eastAsia="宋体" w:cs="Arial"/>
      <w:b/>
      <w:sz w:val="24"/>
      <w:szCs w:val="30"/>
    </w:rPr>
  </w:style>
  <w:style w:type="paragraph" w:styleId="6">
    <w:name w:val="heading 4"/>
    <w:basedOn w:val="1"/>
    <w:next w:val="1"/>
    <w:link w:val="6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7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71"/>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link w:val="72"/>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73"/>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74"/>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pPr>
      <w:tabs>
        <w:tab w:val="right" w:pos="2520"/>
        <w:tab w:val="left" w:pos="2880"/>
      </w:tabs>
      <w:spacing w:after="60"/>
      <w:jc w:val="left"/>
    </w:pPr>
    <w:rPr>
      <w:sz w:val="22"/>
      <w:szCs w:val="20"/>
    </w:rPr>
  </w:style>
  <w:style w:type="paragraph" w:styleId="15">
    <w:name w:val="Body Text Indent"/>
    <w:basedOn w:val="1"/>
    <w:qFormat/>
    <w:uiPriority w:val="0"/>
    <w:pPr>
      <w:ind w:firstLine="645"/>
    </w:pPr>
    <w:rPr>
      <w:rFonts w:ascii="楷体_GB2312" w:eastAsia="楷体_GB2312" w:cs="宋体"/>
      <w:sz w:val="32"/>
      <w:szCs w:val="32"/>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210"/>
    <w:semiHidden/>
    <w:unhideWhenUsed/>
    <w:qFormat/>
    <w:uiPriority w:val="99"/>
    <w:rPr>
      <w:sz w:val="20"/>
    </w:rPr>
  </w:style>
  <w:style w:type="paragraph" w:styleId="20">
    <w:name w:val="Balloon Text"/>
    <w:basedOn w:val="1"/>
    <w:link w:val="651"/>
    <w:semiHidden/>
    <w:unhideWhenUsed/>
    <w:qFormat/>
    <w:uiPriority w:val="99"/>
    <w:rPr>
      <w:sz w:val="18"/>
      <w:szCs w:val="18"/>
    </w:rPr>
  </w:style>
  <w:style w:type="paragraph" w:styleId="21">
    <w:name w:val="footer"/>
    <w:basedOn w:val="1"/>
    <w:next w:val="22"/>
    <w:link w:val="83"/>
    <w:unhideWhenUsed/>
    <w:qFormat/>
    <w:uiPriority w:val="99"/>
    <w:pPr>
      <w:tabs>
        <w:tab w:val="center" w:pos="7143"/>
        <w:tab w:val="right" w:pos="14287"/>
      </w:tabs>
    </w:pPr>
  </w:style>
  <w:style w:type="paragraph" w:customStyle="1" w:styleId="22">
    <w:name w:val="TOC Heading1"/>
    <w:next w:val="1"/>
    <w:qFormat/>
    <w:uiPriority w:val="0"/>
    <w:rPr>
      <w:rFonts w:hint="default" w:ascii="Times New Roman" w:hAnsi="Times New Roman" w:eastAsia="宋体" w:cs="Times New Roman"/>
      <w:sz w:val="32"/>
      <w:szCs w:val="22"/>
      <w:lang w:val="en-US" w:eastAsia="zh-CN" w:bidi="ar-SA"/>
    </w:rPr>
  </w:style>
  <w:style w:type="paragraph" w:styleId="23">
    <w:name w:val="envelope return"/>
    <w:basedOn w:val="1"/>
    <w:qFormat/>
    <w:uiPriority w:val="0"/>
    <w:rPr>
      <w:rFonts w:ascii="Arial" w:hAnsi="Arial" w:eastAsia="楷体_GB2312"/>
      <w:sz w:val="26"/>
      <w:szCs w:val="20"/>
    </w:rPr>
  </w:style>
  <w:style w:type="paragraph" w:styleId="24">
    <w:name w:val="header"/>
    <w:basedOn w:val="1"/>
    <w:link w:val="81"/>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76"/>
    <w:qFormat/>
    <w:uiPriority w:val="11"/>
    <w:pPr>
      <w:spacing w:before="200" w:after="200"/>
    </w:pPr>
    <w:rPr>
      <w:sz w:val="24"/>
      <w:szCs w:val="24"/>
    </w:rPr>
  </w:style>
  <w:style w:type="paragraph" w:styleId="28">
    <w:name w:val="footnote text"/>
    <w:basedOn w:val="1"/>
    <w:link w:val="209"/>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widowControl/>
      <w:spacing w:before="100" w:beforeAutospacing="1" w:after="100" w:afterAutospacing="1"/>
      <w:jc w:val="left"/>
    </w:pPr>
    <w:rPr>
      <w:rFonts w:ascii="宋体" w:cs="宋体"/>
      <w:sz w:val="24"/>
      <w:szCs w:val="24"/>
    </w:rPr>
  </w:style>
  <w:style w:type="paragraph" w:styleId="34">
    <w:name w:val="Title"/>
    <w:basedOn w:val="1"/>
    <w:next w:val="1"/>
    <w:link w:val="75"/>
    <w:qFormat/>
    <w:uiPriority w:val="10"/>
    <w:pPr>
      <w:spacing w:before="300" w:after="200"/>
      <w:contextualSpacing/>
    </w:pPr>
    <w:rPr>
      <w:sz w:val="48"/>
      <w:szCs w:val="48"/>
    </w:rPr>
  </w:style>
  <w:style w:type="paragraph" w:styleId="35">
    <w:name w:val="Body Text First Indent"/>
    <w:basedOn w:val="14"/>
    <w:qFormat/>
    <w:uiPriority w:val="0"/>
    <w:pPr>
      <w:ind w:firstLine="42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Heading 2 Char"/>
    <w:basedOn w:val="38"/>
    <w:qFormat/>
    <w:uiPriority w:val="9"/>
    <w:rPr>
      <w:rFonts w:ascii="Arial" w:hAnsi="Arial" w:eastAsia="Arial" w:cs="Arial"/>
      <w:sz w:val="34"/>
    </w:rPr>
  </w:style>
  <w:style w:type="character" w:customStyle="1" w:styleId="43">
    <w:name w:val="Heading 3 Char"/>
    <w:basedOn w:val="38"/>
    <w:qFormat/>
    <w:uiPriority w:val="9"/>
    <w:rPr>
      <w:rFonts w:ascii="Arial" w:hAnsi="Arial" w:eastAsia="Arial" w:cs="Arial"/>
      <w:sz w:val="30"/>
      <w:szCs w:val="30"/>
    </w:rPr>
  </w:style>
  <w:style w:type="paragraph" w:customStyle="1" w:styleId="44">
    <w:name w:val="首行缩进"/>
    <w:basedOn w:val="1"/>
    <w:next w:val="1"/>
    <w:qFormat/>
    <w:uiPriority w:val="0"/>
    <w:pPr>
      <w:spacing w:line="360" w:lineRule="auto"/>
      <w:ind w:firstLine="480"/>
      <w:jc w:val="left"/>
    </w:pPr>
    <w:rPr>
      <w:rFonts w:ascii="宋体" w:hAnsi="宋体"/>
      <w:sz w:val="24"/>
    </w:rPr>
  </w:style>
  <w:style w:type="character" w:customStyle="1" w:styleId="45">
    <w:name w:val="标题 1 字符"/>
    <w:qFormat/>
    <w:uiPriority w:val="9"/>
    <w:rPr>
      <w:rFonts w:ascii="Calibri" w:hAnsi="Calibri" w:eastAsia="宋体" w:cs="Times New Roman"/>
      <w:b/>
      <w:bCs/>
      <w:sz w:val="44"/>
      <w:szCs w:val="44"/>
    </w:rPr>
  </w:style>
  <w:style w:type="character" w:customStyle="1" w:styleId="46">
    <w:name w:val="标题 2 Char"/>
    <w:qFormat/>
    <w:uiPriority w:val="9"/>
    <w:rPr>
      <w:rFonts w:ascii="Cambria" w:hAnsi="Cambria" w:eastAsia="宋体" w:cs="Times New Roman"/>
      <w:b/>
      <w:bCs/>
      <w:sz w:val="32"/>
      <w:szCs w:val="32"/>
    </w:rPr>
  </w:style>
  <w:style w:type="character" w:customStyle="1" w:styleId="47">
    <w:name w:val="标题 3 Char"/>
    <w:qFormat/>
    <w:uiPriority w:val="0"/>
    <w:rPr>
      <w:b/>
      <w:bCs/>
      <w:sz w:val="32"/>
      <w:szCs w:val="32"/>
    </w:rPr>
  </w:style>
  <w:style w:type="character" w:customStyle="1" w:styleId="48">
    <w:name w:val="Heading 1 Char"/>
    <w:basedOn w:val="38"/>
    <w:qFormat/>
    <w:uiPriority w:val="9"/>
    <w:rPr>
      <w:rFonts w:ascii="Arial" w:hAnsi="Arial" w:eastAsia="Arial" w:cs="Arial"/>
      <w:sz w:val="40"/>
      <w:szCs w:val="40"/>
    </w:rPr>
  </w:style>
  <w:style w:type="character" w:customStyle="1" w:styleId="49">
    <w:name w:val="Heading 4 Char"/>
    <w:basedOn w:val="38"/>
    <w:qFormat/>
    <w:uiPriority w:val="9"/>
    <w:rPr>
      <w:rFonts w:ascii="Arial" w:hAnsi="Arial" w:eastAsia="Arial" w:cs="Arial"/>
      <w:b/>
      <w:bCs/>
      <w:sz w:val="26"/>
      <w:szCs w:val="26"/>
    </w:rPr>
  </w:style>
  <w:style w:type="character" w:customStyle="1" w:styleId="50">
    <w:name w:val="Heading 5 Char"/>
    <w:basedOn w:val="38"/>
    <w:qFormat/>
    <w:uiPriority w:val="9"/>
    <w:rPr>
      <w:rFonts w:ascii="Arial" w:hAnsi="Arial" w:eastAsia="Arial" w:cs="Arial"/>
      <w:b/>
      <w:bCs/>
      <w:sz w:val="24"/>
      <w:szCs w:val="24"/>
    </w:rPr>
  </w:style>
  <w:style w:type="character" w:customStyle="1" w:styleId="51">
    <w:name w:val="Heading 6 Char"/>
    <w:basedOn w:val="38"/>
    <w:qFormat/>
    <w:uiPriority w:val="9"/>
    <w:rPr>
      <w:rFonts w:ascii="Arial" w:hAnsi="Arial" w:eastAsia="Arial" w:cs="Arial"/>
      <w:b/>
      <w:bCs/>
      <w:sz w:val="22"/>
      <w:szCs w:val="22"/>
    </w:rPr>
  </w:style>
  <w:style w:type="character" w:customStyle="1" w:styleId="52">
    <w:name w:val="Heading 7 Char"/>
    <w:basedOn w:val="38"/>
    <w:qFormat/>
    <w:uiPriority w:val="9"/>
    <w:rPr>
      <w:rFonts w:ascii="Arial" w:hAnsi="Arial" w:eastAsia="Arial" w:cs="Arial"/>
      <w:b/>
      <w:bCs/>
      <w:i/>
      <w:iCs/>
      <w:sz w:val="22"/>
      <w:szCs w:val="22"/>
    </w:rPr>
  </w:style>
  <w:style w:type="character" w:customStyle="1" w:styleId="53">
    <w:name w:val="Heading 8 Char"/>
    <w:basedOn w:val="38"/>
    <w:qFormat/>
    <w:uiPriority w:val="9"/>
    <w:rPr>
      <w:rFonts w:ascii="Arial" w:hAnsi="Arial" w:eastAsia="Arial" w:cs="Arial"/>
      <w:i/>
      <w:iCs/>
      <w:sz w:val="22"/>
      <w:szCs w:val="22"/>
    </w:rPr>
  </w:style>
  <w:style w:type="character" w:customStyle="1" w:styleId="54">
    <w:name w:val="Heading 9 Char"/>
    <w:basedOn w:val="38"/>
    <w:qFormat/>
    <w:uiPriority w:val="9"/>
    <w:rPr>
      <w:rFonts w:ascii="Arial" w:hAnsi="Arial" w:eastAsia="Arial" w:cs="Arial"/>
      <w:i/>
      <w:iCs/>
      <w:sz w:val="21"/>
      <w:szCs w:val="21"/>
    </w:rPr>
  </w:style>
  <w:style w:type="character" w:customStyle="1" w:styleId="55">
    <w:name w:val="Title Char"/>
    <w:basedOn w:val="38"/>
    <w:qFormat/>
    <w:uiPriority w:val="10"/>
    <w:rPr>
      <w:sz w:val="48"/>
      <w:szCs w:val="48"/>
    </w:rPr>
  </w:style>
  <w:style w:type="character" w:customStyle="1" w:styleId="56">
    <w:name w:val="Subtitle Char"/>
    <w:basedOn w:val="38"/>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38"/>
    <w:qFormat/>
    <w:uiPriority w:val="99"/>
  </w:style>
  <w:style w:type="character" w:customStyle="1" w:styleId="60">
    <w:name w:val="Caption Char"/>
    <w:qFormat/>
    <w:uiPriority w:val="99"/>
  </w:style>
  <w:style w:type="character" w:customStyle="1" w:styleId="61">
    <w:name w:val="Footnote Text Char"/>
    <w:qFormat/>
    <w:uiPriority w:val="99"/>
    <w:rPr>
      <w:sz w:val="18"/>
    </w:rPr>
  </w:style>
  <w:style w:type="character" w:customStyle="1" w:styleId="62">
    <w:name w:val="Endnote Text Char"/>
    <w:qFormat/>
    <w:uiPriority w:val="99"/>
    <w:rPr>
      <w:sz w:val="20"/>
    </w:rPr>
  </w:style>
  <w:style w:type="paragraph" w:customStyle="1" w:styleId="63">
    <w:name w:val="TOC Heading"/>
    <w:unhideWhenUsed/>
    <w:qFormat/>
    <w:uiPriority w:val="39"/>
    <w:rPr>
      <w:rFonts w:hint="default" w:ascii="Times New Roman" w:hAnsi="Times New Roman" w:eastAsia="宋体" w:cs="Times New Roman"/>
    </w:rPr>
  </w:style>
  <w:style w:type="paragraph" w:customStyle="1" w:styleId="64">
    <w:name w:val="正文文本缩进1"/>
    <w:basedOn w:val="1"/>
    <w:next w:val="65"/>
    <w:link w:val="246"/>
    <w:qFormat/>
    <w:uiPriority w:val="0"/>
    <w:pPr>
      <w:ind w:firstLine="645"/>
    </w:pPr>
    <w:rPr>
      <w:rFonts w:ascii="楷体_GB2312" w:hAnsi="宋体" w:eastAsia="楷体_GB2312" w:cs="宋体"/>
      <w:sz w:val="32"/>
      <w:szCs w:val="32"/>
    </w:rPr>
  </w:style>
  <w:style w:type="paragraph" w:customStyle="1" w:styleId="65">
    <w:name w:val="寄信人地址1"/>
    <w:basedOn w:val="1"/>
    <w:qFormat/>
    <w:uiPriority w:val="0"/>
    <w:rPr>
      <w:rFonts w:ascii="Arial" w:hAnsi="Arial"/>
    </w:rPr>
  </w:style>
  <w:style w:type="character" w:customStyle="1" w:styleId="66">
    <w:name w:val="标题 1 Char2"/>
    <w:link w:val="2"/>
    <w:qFormat/>
    <w:uiPriority w:val="9"/>
    <w:rPr>
      <w:rFonts w:ascii="Arial" w:hAnsi="Arial" w:eastAsia="黑体" w:cs="Arial"/>
      <w:sz w:val="40"/>
      <w:szCs w:val="40"/>
    </w:rPr>
  </w:style>
  <w:style w:type="character" w:customStyle="1" w:styleId="67">
    <w:name w:val="标题 2 Char2"/>
    <w:link w:val="3"/>
    <w:qFormat/>
    <w:uiPriority w:val="9"/>
    <w:rPr>
      <w:rFonts w:ascii="Arial" w:hAnsi="Arial" w:eastAsia="宋体" w:cs="Arial"/>
      <w:b/>
      <w:sz w:val="28"/>
    </w:rPr>
  </w:style>
  <w:style w:type="character" w:customStyle="1" w:styleId="68">
    <w:name w:val="标题 3 Char2"/>
    <w:link w:val="5"/>
    <w:qFormat/>
    <w:uiPriority w:val="9"/>
    <w:rPr>
      <w:rFonts w:ascii="Arial" w:hAnsi="Arial" w:eastAsia="宋体" w:cs="Arial"/>
      <w:b/>
      <w:sz w:val="24"/>
      <w:szCs w:val="30"/>
    </w:rPr>
  </w:style>
  <w:style w:type="character" w:customStyle="1" w:styleId="69">
    <w:name w:val="标题 4 Char3"/>
    <w:link w:val="6"/>
    <w:qFormat/>
    <w:uiPriority w:val="9"/>
    <w:rPr>
      <w:rFonts w:ascii="Arial" w:hAnsi="Arial" w:eastAsia="Arial" w:cs="Arial"/>
      <w:b/>
      <w:bCs/>
      <w:sz w:val="26"/>
      <w:szCs w:val="26"/>
    </w:rPr>
  </w:style>
  <w:style w:type="character" w:customStyle="1" w:styleId="70">
    <w:name w:val="标题 5 Char2"/>
    <w:link w:val="7"/>
    <w:qFormat/>
    <w:uiPriority w:val="9"/>
    <w:rPr>
      <w:rFonts w:ascii="Arial" w:hAnsi="Arial" w:eastAsia="Arial" w:cs="Arial"/>
      <w:b/>
      <w:bCs/>
      <w:sz w:val="24"/>
      <w:szCs w:val="24"/>
    </w:rPr>
  </w:style>
  <w:style w:type="character" w:customStyle="1" w:styleId="71">
    <w:name w:val="标题 6 Char2"/>
    <w:link w:val="8"/>
    <w:qFormat/>
    <w:uiPriority w:val="9"/>
    <w:rPr>
      <w:rFonts w:ascii="Arial" w:hAnsi="Arial" w:eastAsia="Arial" w:cs="Arial"/>
      <w:b/>
      <w:bCs/>
      <w:sz w:val="22"/>
      <w:szCs w:val="22"/>
    </w:rPr>
  </w:style>
  <w:style w:type="character" w:customStyle="1" w:styleId="72">
    <w:name w:val="标题 7 Char"/>
    <w:link w:val="9"/>
    <w:qFormat/>
    <w:uiPriority w:val="9"/>
    <w:rPr>
      <w:rFonts w:ascii="Arial" w:hAnsi="Arial" w:eastAsia="Arial" w:cs="Arial"/>
      <w:b/>
      <w:bCs/>
      <w:i/>
      <w:iCs/>
      <w:sz w:val="22"/>
      <w:szCs w:val="22"/>
    </w:rPr>
  </w:style>
  <w:style w:type="character" w:customStyle="1" w:styleId="73">
    <w:name w:val="标题 8 Char"/>
    <w:link w:val="10"/>
    <w:qFormat/>
    <w:uiPriority w:val="9"/>
    <w:rPr>
      <w:rFonts w:ascii="Arial" w:hAnsi="Arial" w:eastAsia="Arial" w:cs="Arial"/>
      <w:i/>
      <w:iCs/>
      <w:sz w:val="22"/>
      <w:szCs w:val="22"/>
    </w:rPr>
  </w:style>
  <w:style w:type="character" w:customStyle="1" w:styleId="74">
    <w:name w:val="标题 9 Char"/>
    <w:link w:val="11"/>
    <w:qFormat/>
    <w:uiPriority w:val="9"/>
    <w:rPr>
      <w:rFonts w:ascii="Arial" w:hAnsi="Arial" w:eastAsia="Arial" w:cs="Arial"/>
      <w:i/>
      <w:iCs/>
      <w:sz w:val="21"/>
      <w:szCs w:val="21"/>
    </w:rPr>
  </w:style>
  <w:style w:type="character" w:customStyle="1" w:styleId="75">
    <w:name w:val="标题 Char1"/>
    <w:link w:val="34"/>
    <w:qFormat/>
    <w:uiPriority w:val="10"/>
    <w:rPr>
      <w:sz w:val="48"/>
      <w:szCs w:val="48"/>
    </w:rPr>
  </w:style>
  <w:style w:type="character" w:customStyle="1" w:styleId="76">
    <w:name w:val="副标题 Char"/>
    <w:link w:val="27"/>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引用 Char"/>
    <w:link w:val="77"/>
    <w:qFormat/>
    <w:uiPriority w:val="29"/>
    <w:rPr>
      <w:i/>
    </w:rPr>
  </w:style>
  <w:style w:type="paragraph" w:styleId="79">
    <w:name w:val="Intense Quote"/>
    <w:basedOn w:val="1"/>
    <w:next w:val="1"/>
    <w:link w:val="8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0">
    <w:name w:val="明显引用 Char"/>
    <w:link w:val="79"/>
    <w:qFormat/>
    <w:uiPriority w:val="30"/>
    <w:rPr>
      <w:i/>
    </w:rPr>
  </w:style>
  <w:style w:type="character" w:customStyle="1" w:styleId="81">
    <w:name w:val="页眉 Char1"/>
    <w:link w:val="24"/>
    <w:qFormat/>
    <w:uiPriority w:val="99"/>
  </w:style>
  <w:style w:type="character" w:customStyle="1" w:styleId="82">
    <w:name w:val="Footer Char"/>
    <w:qFormat/>
    <w:uiPriority w:val="99"/>
  </w:style>
  <w:style w:type="character" w:customStyle="1" w:styleId="83">
    <w:name w:val="页脚 Char1"/>
    <w:link w:val="21"/>
    <w:qFormat/>
    <w:uiPriority w:val="99"/>
  </w:style>
  <w:style w:type="table" w:customStyle="1" w:styleId="8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5">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6">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7">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7">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5">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2">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9">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6">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0">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4">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9">
    <w:name w:val="脚注文本 Char"/>
    <w:link w:val="28"/>
    <w:qFormat/>
    <w:uiPriority w:val="99"/>
    <w:rPr>
      <w:sz w:val="18"/>
    </w:rPr>
  </w:style>
  <w:style w:type="character" w:customStyle="1" w:styleId="210">
    <w:name w:val="尾注文本 Char"/>
    <w:link w:val="19"/>
    <w:qFormat/>
    <w:uiPriority w:val="99"/>
    <w:rPr>
      <w:sz w:val="20"/>
    </w:rPr>
  </w:style>
  <w:style w:type="paragraph" w:customStyle="1" w:styleId="211">
    <w:name w:val="TOC 标题1"/>
    <w:unhideWhenUsed/>
    <w:qFormat/>
    <w:uiPriority w:val="39"/>
    <w:rPr>
      <w:rFonts w:hint="default" w:ascii="Times New Roman" w:hAnsi="Times New Roman" w:eastAsia="宋体" w:cs="Times New Roman"/>
      <w:lang w:val="en-US" w:eastAsia="zh-CN" w:bidi="ar-SA"/>
    </w:rPr>
  </w:style>
  <w:style w:type="paragraph" w:customStyle="1" w:styleId="212">
    <w:name w:val="标题 111"/>
    <w:basedOn w:val="1"/>
    <w:next w:val="1"/>
    <w:link w:val="224"/>
    <w:qFormat/>
    <w:uiPriority w:val="9"/>
    <w:pPr>
      <w:keepNext/>
      <w:jc w:val="center"/>
      <w:outlineLvl w:val="0"/>
    </w:pPr>
    <w:rPr>
      <w:rFonts w:ascii="楷体_GB2312" w:hAnsi="宋体" w:eastAsia="楷体_GB2312"/>
      <w:sz w:val="28"/>
      <w:szCs w:val="28"/>
    </w:rPr>
  </w:style>
  <w:style w:type="paragraph" w:customStyle="1" w:styleId="213">
    <w:name w:val="标题 211"/>
    <w:basedOn w:val="1"/>
    <w:next w:val="1"/>
    <w:link w:val="225"/>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14">
    <w:name w:val="标题 311"/>
    <w:basedOn w:val="1"/>
    <w:link w:val="226"/>
    <w:qFormat/>
    <w:uiPriority w:val="9"/>
    <w:pPr>
      <w:keepNext/>
      <w:keepLines/>
      <w:spacing w:before="260" w:after="260" w:line="415" w:lineRule="auto"/>
      <w:outlineLvl w:val="2"/>
    </w:pPr>
    <w:rPr>
      <w:b/>
      <w:bCs/>
      <w:sz w:val="32"/>
      <w:szCs w:val="32"/>
    </w:rPr>
  </w:style>
  <w:style w:type="paragraph" w:customStyle="1" w:styleId="215">
    <w:name w:val="标题 411"/>
    <w:basedOn w:val="1"/>
    <w:link w:val="227"/>
    <w:qFormat/>
    <w:uiPriority w:val="9"/>
    <w:pPr>
      <w:keepNext/>
      <w:keepLines/>
      <w:spacing w:before="280" w:after="290" w:line="376" w:lineRule="auto"/>
      <w:outlineLvl w:val="3"/>
    </w:pPr>
    <w:rPr>
      <w:rFonts w:ascii="Arial" w:hAnsi="Arial" w:eastAsia="黑体"/>
      <w:b/>
      <w:bCs/>
      <w:sz w:val="28"/>
      <w:szCs w:val="28"/>
    </w:rPr>
  </w:style>
  <w:style w:type="paragraph" w:customStyle="1" w:styleId="216">
    <w:name w:val="标题 51"/>
    <w:basedOn w:val="1"/>
    <w:link w:val="228"/>
    <w:qFormat/>
    <w:uiPriority w:val="0"/>
    <w:pPr>
      <w:keepNext/>
      <w:outlineLvl w:val="4"/>
    </w:pPr>
    <w:rPr>
      <w:rFonts w:ascii="宋体" w:hAnsi="宋体"/>
      <w:color w:val="000000"/>
      <w:sz w:val="28"/>
      <w:szCs w:val="28"/>
    </w:rPr>
  </w:style>
  <w:style w:type="paragraph" w:customStyle="1" w:styleId="217">
    <w:name w:val="标题 61"/>
    <w:basedOn w:val="1"/>
    <w:next w:val="1"/>
    <w:link w:val="229"/>
    <w:qFormat/>
    <w:uiPriority w:val="0"/>
    <w:pPr>
      <w:keepNext/>
      <w:keepLines/>
      <w:tabs>
        <w:tab w:val="left" w:pos="0"/>
      </w:tabs>
      <w:spacing w:before="240" w:after="64" w:line="319" w:lineRule="auto"/>
      <w:outlineLvl w:val="5"/>
    </w:pPr>
    <w:rPr>
      <w:rFonts w:ascii="Arial" w:hAnsi="Arial" w:eastAsia="黑体"/>
      <w:b/>
      <w:bCs/>
      <w:sz w:val="24"/>
    </w:rPr>
  </w:style>
  <w:style w:type="paragraph" w:customStyle="1" w:styleId="218">
    <w:name w:val="标题 71"/>
    <w:basedOn w:val="1"/>
    <w:next w:val="1"/>
    <w:link w:val="230"/>
    <w:qFormat/>
    <w:uiPriority w:val="0"/>
    <w:pPr>
      <w:keepNext/>
      <w:keepLines/>
      <w:tabs>
        <w:tab w:val="left" w:pos="0"/>
      </w:tabs>
      <w:spacing w:before="240" w:after="64" w:line="319" w:lineRule="auto"/>
      <w:outlineLvl w:val="6"/>
    </w:pPr>
    <w:rPr>
      <w:b/>
      <w:bCs/>
      <w:sz w:val="24"/>
    </w:rPr>
  </w:style>
  <w:style w:type="paragraph" w:customStyle="1" w:styleId="219">
    <w:name w:val="标题 81"/>
    <w:basedOn w:val="1"/>
    <w:next w:val="1"/>
    <w:link w:val="231"/>
    <w:qFormat/>
    <w:uiPriority w:val="0"/>
    <w:pPr>
      <w:keepNext/>
      <w:keepLines/>
      <w:tabs>
        <w:tab w:val="left" w:pos="0"/>
      </w:tabs>
      <w:spacing w:before="240" w:after="64" w:line="319" w:lineRule="auto"/>
      <w:outlineLvl w:val="7"/>
    </w:pPr>
    <w:rPr>
      <w:rFonts w:ascii="Arial" w:hAnsi="Arial" w:eastAsia="黑体"/>
      <w:sz w:val="24"/>
    </w:rPr>
  </w:style>
  <w:style w:type="paragraph" w:customStyle="1" w:styleId="220">
    <w:name w:val="标题 91"/>
    <w:basedOn w:val="1"/>
    <w:next w:val="1"/>
    <w:link w:val="232"/>
    <w:qFormat/>
    <w:uiPriority w:val="0"/>
    <w:pPr>
      <w:keepNext/>
      <w:keepLines/>
      <w:tabs>
        <w:tab w:val="left" w:pos="0"/>
      </w:tabs>
      <w:spacing w:before="240" w:after="64" w:line="319" w:lineRule="auto"/>
      <w:outlineLvl w:val="8"/>
    </w:pPr>
    <w:rPr>
      <w:rFonts w:ascii="Arial" w:hAnsi="Arial" w:eastAsia="黑体"/>
      <w:szCs w:val="21"/>
    </w:rPr>
  </w:style>
  <w:style w:type="character" w:customStyle="1" w:styleId="221">
    <w:name w:val="默认段落字体1"/>
    <w:unhideWhenUsed/>
    <w:qFormat/>
    <w:uiPriority w:val="1"/>
  </w:style>
  <w:style w:type="table" w:customStyle="1" w:styleId="222">
    <w:name w:val="普通表格1"/>
    <w:semiHidden/>
    <w:qFormat/>
    <w:uiPriority w:val="0"/>
    <w:tblPr>
      <w:tblCellMar>
        <w:top w:w="0" w:type="dxa"/>
        <w:left w:w="0" w:type="dxa"/>
        <w:bottom w:w="0" w:type="dxa"/>
        <w:right w:w="0" w:type="dxa"/>
      </w:tblCellMar>
    </w:tblPr>
  </w:style>
  <w:style w:type="character" w:customStyle="1" w:styleId="223">
    <w:name w:val="页码1"/>
    <w:qFormat/>
    <w:uiPriority w:val="0"/>
    <w:rPr>
      <w:rFonts w:ascii="Calibri" w:hAnsi="Calibri"/>
      <w:sz w:val="21"/>
      <w:szCs w:val="22"/>
      <w:lang w:val="en-US" w:eastAsia="zh-CN" w:bidi="ar-SA"/>
    </w:rPr>
  </w:style>
  <w:style w:type="character" w:customStyle="1" w:styleId="224">
    <w:name w:val="标题 1 字符1"/>
    <w:link w:val="212"/>
    <w:qFormat/>
    <w:uiPriority w:val="9"/>
    <w:rPr>
      <w:rFonts w:ascii="楷体_GB2312" w:hAnsi="宋体" w:eastAsia="楷体_GB2312" w:cs="宋体"/>
      <w:sz w:val="28"/>
      <w:szCs w:val="28"/>
    </w:rPr>
  </w:style>
  <w:style w:type="character" w:customStyle="1" w:styleId="225">
    <w:name w:val="标题 2 字符"/>
    <w:link w:val="213"/>
    <w:qFormat/>
    <w:uiPriority w:val="0"/>
    <w:rPr>
      <w:rFonts w:ascii="Arial" w:hAnsi="Arial" w:eastAsia="幼圆" w:cs="Arial"/>
      <w:b/>
      <w:bCs/>
      <w:sz w:val="44"/>
      <w:szCs w:val="44"/>
    </w:rPr>
  </w:style>
  <w:style w:type="character" w:customStyle="1" w:styleId="226">
    <w:name w:val="标题 3 字符"/>
    <w:link w:val="214"/>
    <w:qFormat/>
    <w:uiPriority w:val="9"/>
    <w:rPr>
      <w:b/>
      <w:bCs/>
      <w:sz w:val="32"/>
      <w:szCs w:val="32"/>
    </w:rPr>
  </w:style>
  <w:style w:type="character" w:customStyle="1" w:styleId="227">
    <w:name w:val="标题 4 字符"/>
    <w:link w:val="215"/>
    <w:qFormat/>
    <w:uiPriority w:val="9"/>
    <w:rPr>
      <w:rFonts w:ascii="Arial" w:hAnsi="Arial" w:eastAsia="黑体" w:cs="Arial"/>
      <w:b/>
      <w:bCs/>
      <w:sz w:val="28"/>
      <w:szCs w:val="28"/>
    </w:rPr>
  </w:style>
  <w:style w:type="character" w:customStyle="1" w:styleId="228">
    <w:name w:val="标题 5 字符"/>
    <w:link w:val="216"/>
    <w:qFormat/>
    <w:uiPriority w:val="0"/>
    <w:rPr>
      <w:rFonts w:ascii="宋体" w:hAnsi="宋体" w:cs="宋体"/>
      <w:color w:val="000000"/>
      <w:sz w:val="28"/>
      <w:szCs w:val="28"/>
    </w:rPr>
  </w:style>
  <w:style w:type="character" w:customStyle="1" w:styleId="229">
    <w:name w:val="标题 6 字符"/>
    <w:link w:val="217"/>
    <w:qFormat/>
    <w:uiPriority w:val="0"/>
    <w:rPr>
      <w:rFonts w:ascii="Arial" w:hAnsi="Arial" w:eastAsia="黑体"/>
      <w:b/>
      <w:bCs/>
      <w:sz w:val="24"/>
      <w:szCs w:val="24"/>
    </w:rPr>
  </w:style>
  <w:style w:type="character" w:customStyle="1" w:styleId="230">
    <w:name w:val="标题 7 字符"/>
    <w:link w:val="218"/>
    <w:qFormat/>
    <w:uiPriority w:val="0"/>
    <w:rPr>
      <w:b/>
      <w:bCs/>
      <w:sz w:val="24"/>
      <w:szCs w:val="24"/>
    </w:rPr>
  </w:style>
  <w:style w:type="character" w:customStyle="1" w:styleId="231">
    <w:name w:val="标题 8 字符"/>
    <w:link w:val="219"/>
    <w:qFormat/>
    <w:uiPriority w:val="0"/>
    <w:rPr>
      <w:rFonts w:ascii="Arial" w:hAnsi="Arial" w:eastAsia="黑体"/>
      <w:sz w:val="24"/>
      <w:szCs w:val="24"/>
    </w:rPr>
  </w:style>
  <w:style w:type="character" w:customStyle="1" w:styleId="232">
    <w:name w:val="标题 9 字符"/>
    <w:link w:val="220"/>
    <w:qFormat/>
    <w:uiPriority w:val="0"/>
    <w:rPr>
      <w:rFonts w:ascii="Arial" w:hAnsi="Arial" w:eastAsia="黑体"/>
      <w:sz w:val="21"/>
      <w:szCs w:val="21"/>
    </w:rPr>
  </w:style>
  <w:style w:type="paragraph" w:customStyle="1" w:styleId="233">
    <w:name w:val="列表 311"/>
    <w:basedOn w:val="1"/>
    <w:qFormat/>
    <w:uiPriority w:val="0"/>
    <w:pPr>
      <w:ind w:hanging="200"/>
    </w:pPr>
    <w:rPr>
      <w:szCs w:val="21"/>
    </w:rPr>
  </w:style>
  <w:style w:type="paragraph" w:customStyle="1" w:styleId="234">
    <w:name w:val="目录 71"/>
    <w:basedOn w:val="1"/>
    <w:next w:val="1"/>
    <w:qFormat/>
    <w:uiPriority w:val="39"/>
    <w:pPr>
      <w:ind w:left="1260"/>
      <w:jc w:val="left"/>
    </w:pPr>
    <w:rPr>
      <w:rFonts w:cs="Calibri"/>
      <w:sz w:val="18"/>
      <w:szCs w:val="18"/>
    </w:rPr>
  </w:style>
  <w:style w:type="paragraph" w:customStyle="1" w:styleId="235">
    <w:name w:val="列表编号1"/>
    <w:basedOn w:val="1"/>
    <w:qFormat/>
    <w:uiPriority w:val="0"/>
    <w:rPr>
      <w:szCs w:val="20"/>
    </w:rPr>
  </w:style>
  <w:style w:type="paragraph" w:customStyle="1" w:styleId="236">
    <w:name w:val="正文缩进11"/>
    <w:basedOn w:val="1"/>
    <w:link w:val="237"/>
    <w:qFormat/>
    <w:uiPriority w:val="99"/>
    <w:pPr>
      <w:ind w:firstLine="420"/>
    </w:pPr>
    <w:rPr>
      <w:szCs w:val="21"/>
    </w:rPr>
  </w:style>
  <w:style w:type="character" w:customStyle="1" w:styleId="237">
    <w:name w:val="正文缩进 字符"/>
    <w:link w:val="236"/>
    <w:qFormat/>
    <w:uiPriority w:val="99"/>
    <w:rPr>
      <w:rFonts w:eastAsia="宋体"/>
      <w:sz w:val="21"/>
      <w:szCs w:val="21"/>
      <w:lang w:val="en-US" w:eastAsia="zh-CN" w:bidi="ar-SA"/>
    </w:rPr>
  </w:style>
  <w:style w:type="paragraph" w:customStyle="1" w:styleId="238">
    <w:name w:val="文档结构图1"/>
    <w:basedOn w:val="1"/>
    <w:link w:val="239"/>
    <w:qFormat/>
    <w:uiPriority w:val="99"/>
    <w:pPr>
      <w:shd w:val="clear" w:color="auto" w:fill="000080"/>
    </w:pPr>
    <w:rPr>
      <w:szCs w:val="21"/>
    </w:rPr>
  </w:style>
  <w:style w:type="character" w:customStyle="1" w:styleId="239">
    <w:name w:val="文档结构图 字符"/>
    <w:link w:val="238"/>
    <w:qFormat/>
    <w:uiPriority w:val="99"/>
    <w:rPr>
      <w:sz w:val="21"/>
      <w:szCs w:val="21"/>
      <w:shd w:val="clear" w:color="auto" w:fill="000080"/>
    </w:rPr>
  </w:style>
  <w:style w:type="paragraph" w:customStyle="1" w:styleId="240">
    <w:name w:val="引文目录标题1"/>
    <w:basedOn w:val="1"/>
    <w:next w:val="1"/>
    <w:qFormat/>
    <w:uiPriority w:val="0"/>
    <w:pPr>
      <w:spacing w:before="120"/>
    </w:pPr>
    <w:rPr>
      <w:rFonts w:ascii="Arial" w:hAnsi="Arial" w:cs="Arial"/>
      <w:sz w:val="24"/>
    </w:rPr>
  </w:style>
  <w:style w:type="paragraph" w:customStyle="1" w:styleId="241">
    <w:name w:val="批注文字1"/>
    <w:basedOn w:val="1"/>
    <w:link w:val="242"/>
    <w:qFormat/>
    <w:uiPriority w:val="99"/>
    <w:pPr>
      <w:jc w:val="left"/>
    </w:pPr>
    <w:rPr>
      <w:szCs w:val="21"/>
    </w:rPr>
  </w:style>
  <w:style w:type="character" w:customStyle="1" w:styleId="242">
    <w:name w:val="批注文字 字符"/>
    <w:link w:val="241"/>
    <w:qFormat/>
    <w:uiPriority w:val="99"/>
    <w:rPr>
      <w:sz w:val="21"/>
      <w:szCs w:val="21"/>
    </w:rPr>
  </w:style>
  <w:style w:type="paragraph" w:customStyle="1" w:styleId="243">
    <w:name w:val="正文文本 31"/>
    <w:basedOn w:val="1"/>
    <w:qFormat/>
    <w:uiPriority w:val="0"/>
    <w:rPr>
      <w:rFonts w:ascii="仿宋_GB2312" w:hAnsi="宋体" w:eastAsia="仿宋_GB2312" w:cs="宋体"/>
      <w:sz w:val="32"/>
      <w:szCs w:val="32"/>
    </w:rPr>
  </w:style>
  <w:style w:type="paragraph" w:customStyle="1" w:styleId="244">
    <w:name w:val="正文文本1"/>
    <w:basedOn w:val="1"/>
    <w:link w:val="245"/>
    <w:qFormat/>
    <w:uiPriority w:val="99"/>
    <w:rPr>
      <w:rFonts w:ascii="楷体_GB2312" w:hAnsi="宋体" w:eastAsia="楷体_GB2312"/>
      <w:sz w:val="28"/>
      <w:szCs w:val="28"/>
    </w:rPr>
  </w:style>
  <w:style w:type="character" w:customStyle="1" w:styleId="245">
    <w:name w:val="正文文本 字符"/>
    <w:link w:val="244"/>
    <w:qFormat/>
    <w:uiPriority w:val="99"/>
    <w:rPr>
      <w:rFonts w:ascii="楷体_GB2312" w:hAnsi="宋体" w:eastAsia="楷体_GB2312" w:cs="宋体"/>
      <w:sz w:val="28"/>
      <w:szCs w:val="28"/>
    </w:rPr>
  </w:style>
  <w:style w:type="character" w:customStyle="1" w:styleId="246">
    <w:name w:val="正文文本缩进 Char"/>
    <w:link w:val="64"/>
    <w:qFormat/>
    <w:uiPriority w:val="0"/>
    <w:rPr>
      <w:rFonts w:ascii="楷体_GB2312" w:hAnsi="宋体" w:eastAsia="楷体_GB2312" w:cs="宋体"/>
      <w:sz w:val="32"/>
      <w:szCs w:val="32"/>
    </w:rPr>
  </w:style>
  <w:style w:type="paragraph" w:customStyle="1" w:styleId="247">
    <w:name w:val="列表 211"/>
    <w:basedOn w:val="1"/>
    <w:link w:val="248"/>
    <w:qFormat/>
    <w:uiPriority w:val="0"/>
    <w:pPr>
      <w:ind w:hanging="200"/>
    </w:pPr>
    <w:rPr>
      <w:szCs w:val="21"/>
    </w:rPr>
  </w:style>
  <w:style w:type="character" w:customStyle="1" w:styleId="248">
    <w:name w:val="列表 2 Char"/>
    <w:link w:val="247"/>
    <w:qFormat/>
    <w:uiPriority w:val="0"/>
    <w:rPr>
      <w:szCs w:val="21"/>
    </w:rPr>
  </w:style>
  <w:style w:type="paragraph" w:customStyle="1" w:styleId="249">
    <w:name w:val="HTML 地址1"/>
    <w:basedOn w:val="1"/>
    <w:qFormat/>
    <w:uiPriority w:val="0"/>
    <w:rPr>
      <w:i/>
      <w:iCs/>
      <w:szCs w:val="21"/>
    </w:rPr>
  </w:style>
  <w:style w:type="paragraph" w:customStyle="1" w:styleId="250">
    <w:name w:val="目录 51"/>
    <w:basedOn w:val="1"/>
    <w:next w:val="1"/>
    <w:qFormat/>
    <w:uiPriority w:val="39"/>
    <w:pPr>
      <w:ind w:left="840"/>
      <w:jc w:val="left"/>
    </w:pPr>
    <w:rPr>
      <w:rFonts w:cs="Calibri"/>
      <w:sz w:val="18"/>
      <w:szCs w:val="18"/>
    </w:rPr>
  </w:style>
  <w:style w:type="paragraph" w:customStyle="1" w:styleId="251">
    <w:name w:val="目录 31"/>
    <w:basedOn w:val="1"/>
    <w:next w:val="1"/>
    <w:qFormat/>
    <w:uiPriority w:val="39"/>
    <w:pPr>
      <w:ind w:left="420"/>
      <w:jc w:val="left"/>
    </w:pPr>
    <w:rPr>
      <w:rFonts w:cs="Calibri"/>
      <w:i/>
      <w:iCs/>
      <w:sz w:val="20"/>
      <w:szCs w:val="20"/>
    </w:rPr>
  </w:style>
  <w:style w:type="paragraph" w:customStyle="1" w:styleId="252">
    <w:name w:val="纯文本11"/>
    <w:basedOn w:val="1"/>
    <w:link w:val="253"/>
    <w:qFormat/>
    <w:uiPriority w:val="99"/>
    <w:rPr>
      <w:rFonts w:ascii="宋体" w:hAnsi="宋体"/>
      <w:szCs w:val="21"/>
    </w:rPr>
  </w:style>
  <w:style w:type="character" w:customStyle="1" w:styleId="253">
    <w:name w:val="纯文本 字符"/>
    <w:link w:val="252"/>
    <w:qFormat/>
    <w:uiPriority w:val="99"/>
    <w:rPr>
      <w:rFonts w:ascii="宋体" w:hAnsi="宋体" w:cs="Courier New"/>
      <w:sz w:val="21"/>
      <w:szCs w:val="21"/>
    </w:rPr>
  </w:style>
  <w:style w:type="paragraph" w:customStyle="1" w:styleId="254">
    <w:name w:val="目录 81"/>
    <w:basedOn w:val="1"/>
    <w:next w:val="1"/>
    <w:qFormat/>
    <w:uiPriority w:val="39"/>
    <w:pPr>
      <w:ind w:left="1470"/>
      <w:jc w:val="left"/>
    </w:pPr>
    <w:rPr>
      <w:rFonts w:cs="Calibri"/>
      <w:sz w:val="18"/>
      <w:szCs w:val="18"/>
    </w:rPr>
  </w:style>
  <w:style w:type="paragraph" w:customStyle="1" w:styleId="255">
    <w:name w:val="日期1"/>
    <w:basedOn w:val="1"/>
    <w:next w:val="1"/>
    <w:link w:val="256"/>
    <w:qFormat/>
    <w:uiPriority w:val="0"/>
    <w:rPr>
      <w:sz w:val="24"/>
    </w:rPr>
  </w:style>
  <w:style w:type="character" w:customStyle="1" w:styleId="256">
    <w:name w:val="日期 字符"/>
    <w:link w:val="255"/>
    <w:qFormat/>
    <w:uiPriority w:val="0"/>
    <w:rPr>
      <w:sz w:val="24"/>
      <w:szCs w:val="24"/>
    </w:rPr>
  </w:style>
  <w:style w:type="paragraph" w:customStyle="1" w:styleId="257">
    <w:name w:val="正文文本缩进 21"/>
    <w:basedOn w:val="1"/>
    <w:qFormat/>
    <w:uiPriority w:val="0"/>
    <w:pPr>
      <w:ind w:left="630" w:firstLine="645"/>
    </w:pPr>
    <w:rPr>
      <w:rFonts w:ascii="Arial" w:hAnsi="Arial" w:eastAsia="仿宋_GB2312" w:cs="Arial"/>
      <w:sz w:val="32"/>
      <w:szCs w:val="32"/>
    </w:rPr>
  </w:style>
  <w:style w:type="paragraph" w:customStyle="1" w:styleId="258">
    <w:name w:val="批注框文本1"/>
    <w:basedOn w:val="1"/>
    <w:link w:val="259"/>
    <w:qFormat/>
    <w:uiPriority w:val="99"/>
    <w:rPr>
      <w:sz w:val="18"/>
      <w:szCs w:val="18"/>
    </w:rPr>
  </w:style>
  <w:style w:type="character" w:customStyle="1" w:styleId="259">
    <w:name w:val="批注框文本 字符"/>
    <w:link w:val="258"/>
    <w:qFormat/>
    <w:uiPriority w:val="99"/>
    <w:rPr>
      <w:sz w:val="18"/>
      <w:szCs w:val="18"/>
    </w:rPr>
  </w:style>
  <w:style w:type="paragraph" w:customStyle="1" w:styleId="260">
    <w:name w:val="页脚11"/>
    <w:basedOn w:val="1"/>
    <w:link w:val="261"/>
    <w:qFormat/>
    <w:uiPriority w:val="99"/>
    <w:pPr>
      <w:tabs>
        <w:tab w:val="center" w:pos="4153"/>
        <w:tab w:val="right" w:pos="8306"/>
      </w:tabs>
      <w:jc w:val="left"/>
    </w:pPr>
    <w:rPr>
      <w:sz w:val="18"/>
      <w:szCs w:val="18"/>
    </w:rPr>
  </w:style>
  <w:style w:type="character" w:customStyle="1" w:styleId="261">
    <w:name w:val="页脚 字符"/>
    <w:link w:val="260"/>
    <w:qFormat/>
    <w:uiPriority w:val="99"/>
    <w:rPr>
      <w:sz w:val="18"/>
      <w:szCs w:val="18"/>
    </w:rPr>
  </w:style>
  <w:style w:type="paragraph" w:customStyle="1" w:styleId="262">
    <w:name w:val="页眉11"/>
    <w:basedOn w:val="1"/>
    <w:link w:val="263"/>
    <w:qFormat/>
    <w:uiPriority w:val="99"/>
    <w:pPr>
      <w:pBdr>
        <w:bottom w:val="single" w:color="000000" w:sz="6" w:space="1"/>
      </w:pBdr>
      <w:tabs>
        <w:tab w:val="center" w:pos="4153"/>
        <w:tab w:val="right" w:pos="8306"/>
      </w:tabs>
      <w:jc w:val="center"/>
    </w:pPr>
    <w:rPr>
      <w:sz w:val="18"/>
      <w:szCs w:val="18"/>
    </w:rPr>
  </w:style>
  <w:style w:type="character" w:customStyle="1" w:styleId="263">
    <w:name w:val="页眉 字符"/>
    <w:link w:val="262"/>
    <w:qFormat/>
    <w:uiPriority w:val="99"/>
    <w:rPr>
      <w:sz w:val="18"/>
      <w:szCs w:val="18"/>
    </w:rPr>
  </w:style>
  <w:style w:type="paragraph" w:customStyle="1" w:styleId="264">
    <w:name w:val="目录 11"/>
    <w:basedOn w:val="1"/>
    <w:next w:val="1"/>
    <w:qFormat/>
    <w:uiPriority w:val="39"/>
    <w:pPr>
      <w:spacing w:before="120" w:after="120"/>
      <w:jc w:val="left"/>
    </w:pPr>
    <w:rPr>
      <w:rFonts w:cs="Calibri"/>
      <w:b/>
      <w:bCs/>
      <w:caps/>
      <w:sz w:val="20"/>
      <w:szCs w:val="20"/>
    </w:rPr>
  </w:style>
  <w:style w:type="paragraph" w:customStyle="1" w:styleId="265">
    <w:name w:val="目录 41"/>
    <w:basedOn w:val="1"/>
    <w:next w:val="1"/>
    <w:qFormat/>
    <w:uiPriority w:val="39"/>
    <w:pPr>
      <w:ind w:left="630"/>
      <w:jc w:val="left"/>
    </w:pPr>
    <w:rPr>
      <w:rFonts w:cs="Calibri"/>
      <w:sz w:val="18"/>
      <w:szCs w:val="18"/>
    </w:rPr>
  </w:style>
  <w:style w:type="paragraph" w:customStyle="1" w:styleId="266">
    <w:name w:val="副标题1"/>
    <w:basedOn w:val="1"/>
    <w:next w:val="1"/>
    <w:link w:val="267"/>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67">
    <w:name w:val="副标题 字符"/>
    <w:link w:val="266"/>
    <w:qFormat/>
    <w:uiPriority w:val="0"/>
    <w:rPr>
      <w:rFonts w:ascii="Cambria" w:hAnsi="Cambria"/>
      <w:b/>
      <w:bCs/>
      <w:sz w:val="32"/>
      <w:szCs w:val="32"/>
    </w:rPr>
  </w:style>
  <w:style w:type="paragraph" w:customStyle="1" w:styleId="268">
    <w:name w:val="列表1"/>
    <w:basedOn w:val="1"/>
    <w:qFormat/>
    <w:uiPriority w:val="99"/>
    <w:pPr>
      <w:ind w:left="200" w:hanging="200"/>
    </w:pPr>
    <w:rPr>
      <w:szCs w:val="21"/>
    </w:rPr>
  </w:style>
  <w:style w:type="paragraph" w:customStyle="1" w:styleId="269">
    <w:name w:val="脚注文本1"/>
    <w:basedOn w:val="1"/>
    <w:qFormat/>
    <w:uiPriority w:val="0"/>
    <w:pPr>
      <w:widowControl/>
      <w:jc w:val="left"/>
    </w:pPr>
    <w:rPr>
      <w:sz w:val="20"/>
      <w:szCs w:val="20"/>
    </w:rPr>
  </w:style>
  <w:style w:type="paragraph" w:customStyle="1" w:styleId="270">
    <w:name w:val="目录 61"/>
    <w:basedOn w:val="1"/>
    <w:next w:val="1"/>
    <w:qFormat/>
    <w:uiPriority w:val="39"/>
    <w:pPr>
      <w:ind w:left="1050"/>
      <w:jc w:val="left"/>
    </w:pPr>
    <w:rPr>
      <w:rFonts w:cs="Calibri"/>
      <w:sz w:val="18"/>
      <w:szCs w:val="18"/>
    </w:rPr>
  </w:style>
  <w:style w:type="paragraph" w:customStyle="1" w:styleId="271">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72">
    <w:name w:val="图表目录1"/>
    <w:basedOn w:val="1"/>
    <w:next w:val="1"/>
    <w:qFormat/>
    <w:uiPriority w:val="0"/>
    <w:pPr>
      <w:ind w:left="840" w:hanging="420"/>
    </w:pPr>
    <w:rPr>
      <w:szCs w:val="21"/>
    </w:rPr>
  </w:style>
  <w:style w:type="paragraph" w:customStyle="1" w:styleId="273">
    <w:name w:val="目录 21"/>
    <w:basedOn w:val="1"/>
    <w:next w:val="1"/>
    <w:qFormat/>
    <w:uiPriority w:val="39"/>
    <w:pPr>
      <w:ind w:left="210"/>
      <w:jc w:val="left"/>
    </w:pPr>
    <w:rPr>
      <w:rFonts w:cs="Calibri"/>
      <w:smallCaps/>
      <w:sz w:val="20"/>
      <w:szCs w:val="20"/>
    </w:rPr>
  </w:style>
  <w:style w:type="paragraph" w:customStyle="1" w:styleId="274">
    <w:name w:val="目录 91"/>
    <w:basedOn w:val="1"/>
    <w:next w:val="1"/>
    <w:qFormat/>
    <w:uiPriority w:val="39"/>
    <w:pPr>
      <w:ind w:left="1680"/>
      <w:jc w:val="left"/>
    </w:pPr>
    <w:rPr>
      <w:rFonts w:cs="Calibri"/>
      <w:sz w:val="18"/>
      <w:szCs w:val="18"/>
    </w:rPr>
  </w:style>
  <w:style w:type="paragraph" w:customStyle="1" w:styleId="275">
    <w:name w:val="正文文本 21"/>
    <w:basedOn w:val="1"/>
    <w:qFormat/>
    <w:uiPriority w:val="0"/>
    <w:pPr>
      <w:widowControl/>
      <w:jc w:val="center"/>
    </w:pPr>
    <w:rPr>
      <w:rFonts w:ascii="楷体_GB2312" w:hAnsi="宋体" w:eastAsia="楷体_GB2312" w:cs="宋体"/>
      <w:sz w:val="28"/>
      <w:szCs w:val="28"/>
    </w:rPr>
  </w:style>
  <w:style w:type="paragraph" w:customStyle="1" w:styleId="276">
    <w:name w:val="列表 41"/>
    <w:basedOn w:val="1"/>
    <w:qFormat/>
    <w:uiPriority w:val="0"/>
    <w:pPr>
      <w:ind w:left="100" w:hanging="200"/>
    </w:pPr>
    <w:rPr>
      <w:szCs w:val="21"/>
    </w:rPr>
  </w:style>
  <w:style w:type="paragraph" w:customStyle="1" w:styleId="27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78">
    <w:name w:val="普通(网站)1"/>
    <w:basedOn w:val="1"/>
    <w:link w:val="279"/>
    <w:qFormat/>
    <w:uiPriority w:val="99"/>
    <w:pPr>
      <w:widowControl/>
      <w:spacing w:before="100" w:beforeAutospacing="1" w:after="100" w:afterAutospacing="1"/>
      <w:jc w:val="left"/>
    </w:pPr>
    <w:rPr>
      <w:rFonts w:ascii="宋体" w:hAnsi="宋体"/>
      <w:sz w:val="24"/>
    </w:rPr>
  </w:style>
  <w:style w:type="character" w:customStyle="1" w:styleId="279">
    <w:name w:val="普通(网站) 字符"/>
    <w:link w:val="278"/>
    <w:qFormat/>
    <w:uiPriority w:val="99"/>
    <w:rPr>
      <w:rFonts w:ascii="宋体" w:hAnsi="宋体" w:cs="宋体"/>
      <w:sz w:val="24"/>
      <w:szCs w:val="24"/>
    </w:rPr>
  </w:style>
  <w:style w:type="paragraph" w:customStyle="1" w:styleId="280">
    <w:name w:val="列表接续 31"/>
    <w:basedOn w:val="1"/>
    <w:qFormat/>
    <w:uiPriority w:val="0"/>
    <w:pPr>
      <w:spacing w:after="120"/>
      <w:ind w:left="1260"/>
    </w:pPr>
    <w:rPr>
      <w:szCs w:val="20"/>
    </w:rPr>
  </w:style>
  <w:style w:type="paragraph" w:customStyle="1" w:styleId="281">
    <w:name w:val="索引 11"/>
    <w:basedOn w:val="1"/>
    <w:next w:val="1"/>
    <w:qFormat/>
    <w:uiPriority w:val="0"/>
    <w:pPr>
      <w:spacing w:line="240" w:lineRule="atLeast"/>
    </w:pPr>
    <w:rPr>
      <w:b/>
      <w:bCs/>
      <w:szCs w:val="21"/>
    </w:rPr>
  </w:style>
  <w:style w:type="paragraph" w:customStyle="1" w:styleId="282">
    <w:name w:val="标题11"/>
    <w:basedOn w:val="1"/>
    <w:link w:val="283"/>
    <w:qFormat/>
    <w:uiPriority w:val="0"/>
    <w:pPr>
      <w:spacing w:before="240" w:after="60"/>
      <w:jc w:val="center"/>
      <w:outlineLvl w:val="0"/>
    </w:pPr>
    <w:rPr>
      <w:rFonts w:ascii="Arial" w:hAnsi="Arial" w:eastAsia="黑体"/>
      <w:b/>
      <w:bCs/>
      <w:sz w:val="44"/>
      <w:szCs w:val="32"/>
    </w:rPr>
  </w:style>
  <w:style w:type="character" w:customStyle="1" w:styleId="283">
    <w:name w:val="标题 字符1"/>
    <w:link w:val="282"/>
    <w:qFormat/>
    <w:uiPriority w:val="0"/>
    <w:rPr>
      <w:rFonts w:ascii="Arial" w:hAnsi="Arial" w:eastAsia="黑体" w:cs="Arial"/>
      <w:b/>
      <w:bCs/>
      <w:sz w:val="44"/>
      <w:szCs w:val="32"/>
    </w:rPr>
  </w:style>
  <w:style w:type="paragraph" w:customStyle="1" w:styleId="284">
    <w:name w:val="批注主题1"/>
    <w:basedOn w:val="241"/>
    <w:next w:val="241"/>
    <w:link w:val="285"/>
    <w:qFormat/>
    <w:uiPriority w:val="99"/>
    <w:rPr>
      <w:b/>
      <w:bCs/>
    </w:rPr>
  </w:style>
  <w:style w:type="character" w:customStyle="1" w:styleId="285">
    <w:name w:val="批注主题 字符"/>
    <w:link w:val="284"/>
    <w:qFormat/>
    <w:uiPriority w:val="99"/>
    <w:rPr>
      <w:b/>
      <w:bCs/>
      <w:sz w:val="21"/>
      <w:szCs w:val="21"/>
    </w:rPr>
  </w:style>
  <w:style w:type="paragraph" w:customStyle="1" w:styleId="286">
    <w:name w:val="正文首行缩进11"/>
    <w:basedOn w:val="1"/>
    <w:link w:val="287"/>
    <w:qFormat/>
    <w:uiPriority w:val="0"/>
    <w:pPr>
      <w:spacing w:line="360" w:lineRule="auto"/>
      <w:ind w:firstLine="200"/>
    </w:pPr>
    <w:rPr>
      <w:rFonts w:ascii="仿宋_GB2312" w:hAnsi="宋体" w:eastAsia="仿宋_GB2312"/>
      <w:sz w:val="30"/>
      <w:szCs w:val="30"/>
    </w:rPr>
  </w:style>
  <w:style w:type="character" w:customStyle="1" w:styleId="287">
    <w:name w:val="正文首行缩进 字符"/>
    <w:link w:val="286"/>
    <w:qFormat/>
    <w:uiPriority w:val="0"/>
    <w:rPr>
      <w:rFonts w:ascii="仿宋_GB2312" w:hAnsi="宋体" w:eastAsia="仿宋_GB2312" w:cs="宋体"/>
      <w:sz w:val="30"/>
      <w:szCs w:val="30"/>
    </w:rPr>
  </w:style>
  <w:style w:type="paragraph" w:customStyle="1" w:styleId="288">
    <w:name w:val="正文首行缩进 21"/>
    <w:basedOn w:val="64"/>
    <w:qFormat/>
    <w:uiPriority w:val="0"/>
    <w:pPr>
      <w:spacing w:line="360" w:lineRule="auto"/>
      <w:ind w:firstLine="200"/>
    </w:pPr>
    <w:rPr>
      <w:rFonts w:ascii="宋体" w:eastAsia="宋体"/>
      <w:sz w:val="21"/>
      <w:szCs w:val="20"/>
    </w:rPr>
  </w:style>
  <w:style w:type="table" w:customStyle="1" w:styleId="289">
    <w:name w:val="网格型1"/>
    <w:basedOn w:val="222"/>
    <w:qFormat/>
    <w:uiPriority w:val="39"/>
    <w:rPr>
      <w:rFonts w:ascii="Calibri" w:hAnsi="Calibri"/>
    </w:rPr>
    <w:tblPr>
      <w:tblCellMar>
        <w:top w:w="0" w:type="dxa"/>
        <w:left w:w="0" w:type="dxa"/>
        <w:bottom w:w="0" w:type="dxa"/>
        <w:right w:w="0" w:type="dxa"/>
      </w:tblCellMar>
    </w:tblPr>
  </w:style>
  <w:style w:type="character" w:customStyle="1" w:styleId="290">
    <w:name w:val="要点1"/>
    <w:qFormat/>
    <w:uiPriority w:val="22"/>
    <w:rPr>
      <w:b/>
      <w:bCs/>
    </w:rPr>
  </w:style>
  <w:style w:type="character" w:customStyle="1" w:styleId="291">
    <w:name w:val="页码2"/>
    <w:qFormat/>
    <w:uiPriority w:val="0"/>
  </w:style>
  <w:style w:type="character" w:customStyle="1" w:styleId="292">
    <w:name w:val="已访问的超链接1"/>
    <w:qFormat/>
    <w:uiPriority w:val="99"/>
    <w:rPr>
      <w:color w:val="800080"/>
      <w:u w:val="single"/>
    </w:rPr>
  </w:style>
  <w:style w:type="character" w:customStyle="1" w:styleId="293">
    <w:name w:val="强调1"/>
    <w:qFormat/>
    <w:uiPriority w:val="20"/>
    <w:rPr>
      <w:i/>
      <w:iCs/>
    </w:rPr>
  </w:style>
  <w:style w:type="character" w:customStyle="1" w:styleId="294">
    <w:name w:val="超链接1"/>
    <w:qFormat/>
    <w:uiPriority w:val="99"/>
    <w:rPr>
      <w:color w:val="0000FF"/>
      <w:u w:val="single"/>
    </w:rPr>
  </w:style>
  <w:style w:type="character" w:customStyle="1" w:styleId="295">
    <w:name w:val="批注引用1"/>
    <w:qFormat/>
    <w:uiPriority w:val="99"/>
    <w:rPr>
      <w:sz w:val="21"/>
      <w:szCs w:val="21"/>
    </w:rPr>
  </w:style>
  <w:style w:type="character" w:customStyle="1" w:styleId="296">
    <w:name w:val="标题 8 Char1"/>
    <w:semiHidden/>
    <w:qFormat/>
    <w:uiPriority w:val="0"/>
    <w:rPr>
      <w:rFonts w:ascii="Cambria" w:hAnsi="Cambria" w:eastAsia="宋体" w:cs="Times New Roman"/>
      <w:sz w:val="24"/>
      <w:szCs w:val="24"/>
    </w:rPr>
  </w:style>
  <w:style w:type="character" w:customStyle="1" w:styleId="297">
    <w:name w:val="标题 字符"/>
    <w:qFormat/>
    <w:uiPriority w:val="10"/>
    <w:rPr>
      <w:rFonts w:ascii="Cambria" w:hAnsi="Cambria" w:eastAsia="宋体" w:cs="Times New Roman"/>
      <w:b/>
      <w:bCs/>
      <w:sz w:val="32"/>
      <w:szCs w:val="32"/>
    </w:rPr>
  </w:style>
  <w:style w:type="character" w:customStyle="1" w:styleId="298">
    <w:name w:val="font61"/>
    <w:qFormat/>
    <w:uiPriority w:val="0"/>
    <w:rPr>
      <w:rFonts w:hint="eastAsia" w:ascii="宋体" w:hAnsi="宋体" w:eastAsia="宋体" w:cs="宋体"/>
      <w:i/>
      <w:color w:val="000000"/>
      <w:sz w:val="20"/>
      <w:szCs w:val="20"/>
      <w:u w:val="single"/>
    </w:rPr>
  </w:style>
  <w:style w:type="character" w:customStyle="1" w:styleId="299">
    <w:name w:val="font71"/>
    <w:qFormat/>
    <w:uiPriority w:val="0"/>
    <w:rPr>
      <w:rFonts w:hint="eastAsia" w:ascii="宋体" w:hAnsi="宋体" w:eastAsia="宋体" w:cs="宋体"/>
      <w:color w:val="000000"/>
      <w:sz w:val="20"/>
      <w:szCs w:val="20"/>
      <w:u w:val="none"/>
    </w:rPr>
  </w:style>
  <w:style w:type="character" w:customStyle="1" w:styleId="300">
    <w:name w:val="副标题 Char1"/>
    <w:qFormat/>
    <w:uiPriority w:val="11"/>
    <w:rPr>
      <w:rFonts w:ascii="Cambria" w:hAnsi="Cambria" w:cs="Times New Roman"/>
      <w:b/>
      <w:bCs/>
      <w:sz w:val="32"/>
      <w:szCs w:val="32"/>
    </w:rPr>
  </w:style>
  <w:style w:type="character" w:customStyle="1" w:styleId="301">
    <w:name w:val="标题 5 Char"/>
    <w:qFormat/>
    <w:uiPriority w:val="0"/>
    <w:rPr>
      <w:b/>
      <w:bCs/>
      <w:sz w:val="28"/>
      <w:szCs w:val="28"/>
    </w:rPr>
  </w:style>
  <w:style w:type="character" w:customStyle="1" w:styleId="302">
    <w:name w:val="正文文本 Char"/>
    <w:qFormat/>
    <w:uiPriority w:val="0"/>
    <w:rPr>
      <w:rFonts w:ascii="Calibri" w:hAnsi="Calibri" w:eastAsia="宋体" w:cs="Times New Roman"/>
    </w:rPr>
  </w:style>
  <w:style w:type="character" w:customStyle="1" w:styleId="303">
    <w:name w:val="Item List in Table Char Char"/>
    <w:link w:val="304"/>
    <w:qFormat/>
    <w:uiPriority w:val="99"/>
    <w:rPr>
      <w:rFonts w:ascii="Arial" w:hAnsi="Arial"/>
      <w:sz w:val="18"/>
      <w:szCs w:val="22"/>
      <w:lang w:val="en-US" w:eastAsia="zh-CN" w:bidi="ar-SA"/>
    </w:rPr>
  </w:style>
  <w:style w:type="paragraph" w:customStyle="1" w:styleId="304">
    <w:name w:val="Item List in Table"/>
    <w:link w:val="303"/>
    <w:qFormat/>
    <w:uiPriority w:val="99"/>
    <w:pPr>
      <w:tabs>
        <w:tab w:val="left" w:pos="284"/>
      </w:tabs>
      <w:spacing w:before="40" w:after="40"/>
      <w:jc w:val="both"/>
    </w:pPr>
    <w:rPr>
      <w:rFonts w:hint="default" w:ascii="Arial" w:hAnsi="Arial" w:eastAsia="宋体" w:cs="Times New Roman"/>
      <w:sz w:val="18"/>
      <w:szCs w:val="22"/>
      <w:lang w:val="en-US" w:eastAsia="zh-CN" w:bidi="ar-SA"/>
    </w:rPr>
  </w:style>
  <w:style w:type="character" w:customStyle="1" w:styleId="305">
    <w:name w:val="标题 9 Char1"/>
    <w:semiHidden/>
    <w:qFormat/>
    <w:uiPriority w:val="0"/>
    <w:rPr>
      <w:rFonts w:ascii="Cambria" w:hAnsi="Cambria" w:eastAsia="宋体" w:cs="Times New Roman"/>
      <w:sz w:val="21"/>
      <w:szCs w:val="21"/>
    </w:rPr>
  </w:style>
  <w:style w:type="character" w:customStyle="1" w:styleId="306">
    <w:name w:val="副标题 字符1"/>
    <w:qFormat/>
    <w:uiPriority w:val="11"/>
    <w:rPr>
      <w:b/>
      <w:bCs/>
      <w:sz w:val="32"/>
      <w:szCs w:val="32"/>
    </w:rPr>
  </w:style>
  <w:style w:type="character" w:customStyle="1" w:styleId="307">
    <w:name w:val="font91"/>
    <w:qFormat/>
    <w:uiPriority w:val="0"/>
    <w:rPr>
      <w:rFonts w:ascii="Times New Roman" w:hAnsi="Times New Roman" w:cs="Times New Roman"/>
      <w:color w:val="000000"/>
      <w:sz w:val="20"/>
      <w:szCs w:val="20"/>
      <w:u w:val="none"/>
    </w:rPr>
  </w:style>
  <w:style w:type="character" w:customStyle="1" w:styleId="308">
    <w:name w:val="Item List Char Char"/>
    <w:link w:val="309"/>
    <w:qFormat/>
    <w:uiPriority w:val="99"/>
    <w:rPr>
      <w:rFonts w:ascii="Arial" w:hAnsi="Arial" w:cs="Arial"/>
      <w:lang w:eastAsia="en-US"/>
    </w:rPr>
  </w:style>
  <w:style w:type="paragraph" w:customStyle="1" w:styleId="309">
    <w:name w:val="Item List"/>
    <w:basedOn w:val="1"/>
    <w:link w:val="308"/>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10">
    <w:name w:val="正文首行缩进 Char Char"/>
    <w:link w:val="311"/>
    <w:qFormat/>
    <w:uiPriority w:val="0"/>
    <w:rPr>
      <w:szCs w:val="24"/>
    </w:rPr>
  </w:style>
  <w:style w:type="paragraph" w:customStyle="1" w:styleId="311">
    <w:name w:val="正文首行缩进1"/>
    <w:basedOn w:val="244"/>
    <w:link w:val="310"/>
    <w:qFormat/>
    <w:uiPriority w:val="0"/>
    <w:pPr>
      <w:spacing w:after="120"/>
      <w:ind w:firstLine="420"/>
    </w:pPr>
    <w:rPr>
      <w:rFonts w:ascii="Times New Roman" w:hAnsi="Times New Roman" w:eastAsia="宋体"/>
      <w:sz w:val="20"/>
      <w:szCs w:val="24"/>
    </w:rPr>
  </w:style>
  <w:style w:type="character" w:customStyle="1" w:styleId="312">
    <w:name w:val="正文样式 Char"/>
    <w:link w:val="313"/>
    <w:qFormat/>
    <w:uiPriority w:val="0"/>
    <w:rPr>
      <w:rFonts w:ascii="宋体" w:hAnsi="宋体"/>
      <w:sz w:val="24"/>
      <w:szCs w:val="24"/>
    </w:rPr>
  </w:style>
  <w:style w:type="paragraph" w:customStyle="1" w:styleId="313">
    <w:name w:val="正文样式"/>
    <w:basedOn w:val="1"/>
    <w:link w:val="312"/>
    <w:qFormat/>
    <w:uiPriority w:val="0"/>
    <w:pPr>
      <w:spacing w:line="360" w:lineRule="auto"/>
      <w:ind w:firstLine="480"/>
    </w:pPr>
    <w:rPr>
      <w:rFonts w:ascii="宋体" w:hAnsi="宋体"/>
      <w:sz w:val="24"/>
    </w:rPr>
  </w:style>
  <w:style w:type="character" w:customStyle="1" w:styleId="314">
    <w:name w:val="标题 5 Char1"/>
    <w:semiHidden/>
    <w:qFormat/>
    <w:uiPriority w:val="0"/>
    <w:rPr>
      <w:b/>
      <w:bCs/>
      <w:sz w:val="28"/>
      <w:szCs w:val="28"/>
    </w:rPr>
  </w:style>
  <w:style w:type="character" w:customStyle="1" w:styleId="315">
    <w:name w:val="Table Text Char"/>
    <w:link w:val="316"/>
    <w:qFormat/>
    <w:uiPriority w:val="99"/>
    <w:rPr>
      <w:rFonts w:ascii="Arial" w:hAnsi="Arial"/>
      <w:sz w:val="18"/>
      <w:szCs w:val="18"/>
      <w:lang w:val="en-US" w:eastAsia="zh-CN" w:bidi="ar-SA"/>
    </w:rPr>
  </w:style>
  <w:style w:type="paragraph" w:customStyle="1" w:styleId="316">
    <w:name w:val="Table Text"/>
    <w:link w:val="315"/>
    <w:qFormat/>
    <w:uiPriority w:val="99"/>
    <w:pPr>
      <w:spacing w:before="80" w:after="80"/>
    </w:pPr>
    <w:rPr>
      <w:rFonts w:hint="default" w:ascii="Arial" w:hAnsi="Arial" w:eastAsia="宋体" w:cs="Times New Roman"/>
      <w:sz w:val="18"/>
      <w:szCs w:val="18"/>
      <w:lang w:val="en-US" w:eastAsia="zh-CN" w:bidi="ar-SA"/>
    </w:rPr>
  </w:style>
  <w:style w:type="character" w:customStyle="1" w:styleId="317">
    <w:name w:val="样式1 Char"/>
    <w:link w:val="318"/>
    <w:qFormat/>
    <w:uiPriority w:val="0"/>
    <w:rPr>
      <w:rFonts w:ascii="宋体" w:hAnsi="宋体"/>
      <w:sz w:val="21"/>
      <w:szCs w:val="21"/>
    </w:rPr>
  </w:style>
  <w:style w:type="paragraph" w:customStyle="1" w:styleId="318">
    <w:name w:val="样式1"/>
    <w:basedOn w:val="1"/>
    <w:link w:val="317"/>
    <w:qFormat/>
    <w:uiPriority w:val="0"/>
    <w:pPr>
      <w:tabs>
        <w:tab w:val="left" w:pos="709"/>
      </w:tabs>
    </w:pPr>
    <w:rPr>
      <w:rFonts w:ascii="宋体" w:hAnsi="宋体"/>
      <w:szCs w:val="21"/>
    </w:rPr>
  </w:style>
  <w:style w:type="character" w:customStyle="1" w:styleId="319">
    <w:name w:val="标题 4 Char1"/>
    <w:semiHidden/>
    <w:qFormat/>
    <w:uiPriority w:val="99"/>
    <w:rPr>
      <w:rFonts w:ascii="Cambria" w:hAnsi="Cambria" w:eastAsia="宋体" w:cs="Times New Roman"/>
      <w:b/>
      <w:bCs/>
      <w:sz w:val="28"/>
      <w:szCs w:val="28"/>
    </w:rPr>
  </w:style>
  <w:style w:type="character" w:customStyle="1" w:styleId="320">
    <w:name w:val="as-productsummary-addonupgrade"/>
    <w:qFormat/>
    <w:uiPriority w:val="0"/>
  </w:style>
  <w:style w:type="character" w:customStyle="1" w:styleId="321">
    <w:name w:val="标题 2 Char1"/>
    <w:semiHidden/>
    <w:qFormat/>
    <w:uiPriority w:val="99"/>
    <w:rPr>
      <w:rFonts w:ascii="Cambria" w:hAnsi="Cambria" w:eastAsia="宋体" w:cs="Times New Roman"/>
      <w:b/>
      <w:bCs/>
      <w:sz w:val="32"/>
      <w:szCs w:val="32"/>
    </w:rPr>
  </w:style>
  <w:style w:type="character" w:customStyle="1" w:styleId="322">
    <w:name w:val="标题 4 Char"/>
    <w:qFormat/>
    <w:uiPriority w:val="0"/>
    <w:rPr>
      <w:rFonts w:ascii="Cambria" w:hAnsi="Cambria" w:eastAsia="宋体" w:cs="Times New Roman"/>
      <w:b/>
      <w:bCs/>
      <w:sz w:val="28"/>
      <w:szCs w:val="28"/>
    </w:rPr>
  </w:style>
  <w:style w:type="character" w:customStyle="1" w:styleId="323">
    <w:name w:val="font41"/>
    <w:basedOn w:val="38"/>
    <w:qFormat/>
    <w:uiPriority w:val="0"/>
    <w:rPr>
      <w:rFonts w:hint="eastAsia" w:ascii="宋体" w:hAnsi="宋体" w:eastAsia="宋体" w:cs="宋体"/>
      <w:color w:val="000000"/>
      <w:sz w:val="18"/>
      <w:szCs w:val="18"/>
      <w:u w:val="none"/>
    </w:rPr>
  </w:style>
  <w:style w:type="character" w:customStyle="1" w:styleId="324">
    <w:name w:val="标题 6 Char"/>
    <w:qFormat/>
    <w:uiPriority w:val="0"/>
    <w:rPr>
      <w:rFonts w:ascii="Cambria" w:hAnsi="Cambria" w:eastAsia="宋体" w:cs="Times New Roman"/>
      <w:b/>
      <w:bCs/>
      <w:sz w:val="24"/>
      <w:szCs w:val="24"/>
    </w:rPr>
  </w:style>
  <w:style w:type="character" w:customStyle="1" w:styleId="325">
    <w:name w:val="表格 Char Char"/>
    <w:link w:val="326"/>
    <w:qFormat/>
    <w:uiPriority w:val="0"/>
    <w:rPr>
      <w:rFonts w:ascii="宋体" w:hAnsi="宋体" w:cs="宋体"/>
    </w:rPr>
  </w:style>
  <w:style w:type="paragraph" w:customStyle="1" w:styleId="326">
    <w:name w:val="表格"/>
    <w:basedOn w:val="1"/>
    <w:link w:val="325"/>
    <w:qFormat/>
    <w:uiPriority w:val="0"/>
    <w:pPr>
      <w:ind w:firstLine="21"/>
    </w:pPr>
    <w:rPr>
      <w:rFonts w:ascii="宋体" w:hAnsi="宋体"/>
      <w:sz w:val="20"/>
      <w:szCs w:val="20"/>
    </w:rPr>
  </w:style>
  <w:style w:type="character" w:customStyle="1" w:styleId="327">
    <w:name w:val="普通正文 Char"/>
    <w:link w:val="328"/>
    <w:qFormat/>
    <w:uiPriority w:val="0"/>
    <w:rPr>
      <w:rFonts w:ascii="Arial" w:hAnsi="Arial" w:cs="Arial"/>
      <w:sz w:val="24"/>
      <w:szCs w:val="24"/>
    </w:rPr>
  </w:style>
  <w:style w:type="paragraph" w:customStyle="1" w:styleId="328">
    <w:name w:val="普通正文"/>
    <w:basedOn w:val="1"/>
    <w:link w:val="327"/>
    <w:qFormat/>
    <w:uiPriority w:val="0"/>
    <w:pPr>
      <w:spacing w:before="120" w:after="120" w:line="360" w:lineRule="auto"/>
      <w:ind w:firstLine="480"/>
      <w:jc w:val="left"/>
    </w:pPr>
    <w:rPr>
      <w:rFonts w:ascii="Arial" w:hAnsi="Arial"/>
      <w:sz w:val="24"/>
    </w:rPr>
  </w:style>
  <w:style w:type="character" w:customStyle="1" w:styleId="329">
    <w:name w:val="intro1"/>
    <w:qFormat/>
    <w:uiPriority w:val="0"/>
    <w:rPr>
      <w:rFonts w:ascii="Trebuchet MS"/>
      <w:sz w:val="21"/>
      <w:szCs w:val="21"/>
    </w:rPr>
  </w:style>
  <w:style w:type="character" w:customStyle="1" w:styleId="330">
    <w:name w:val="批注框文本 Char"/>
    <w:qFormat/>
    <w:uiPriority w:val="99"/>
    <w:rPr>
      <w:sz w:val="18"/>
      <w:szCs w:val="18"/>
    </w:rPr>
  </w:style>
  <w:style w:type="character" w:customStyle="1" w:styleId="331">
    <w:name w:val="文档结构图 Char"/>
    <w:qFormat/>
    <w:uiPriority w:val="99"/>
    <w:rPr>
      <w:rFonts w:ascii="宋体" w:eastAsia="宋体"/>
      <w:sz w:val="18"/>
      <w:szCs w:val="18"/>
    </w:rPr>
  </w:style>
  <w:style w:type="character" w:customStyle="1" w:styleId="332">
    <w:name w:val="font81"/>
    <w:qFormat/>
    <w:uiPriority w:val="0"/>
    <w:rPr>
      <w:rFonts w:hint="eastAsia" w:ascii="宋体" w:hAnsi="宋体" w:eastAsia="宋体" w:cs="宋体"/>
      <w:color w:val="000000"/>
      <w:sz w:val="20"/>
      <w:szCs w:val="20"/>
      <w:u w:val="none"/>
    </w:rPr>
  </w:style>
  <w:style w:type="character" w:customStyle="1" w:styleId="333">
    <w:name w:val="font112"/>
    <w:qFormat/>
    <w:uiPriority w:val="0"/>
    <w:rPr>
      <w:rFonts w:hint="eastAsia" w:ascii="宋体" w:hAnsi="宋体" w:eastAsia="宋体" w:cs="宋体"/>
      <w:color w:val="000000"/>
      <w:sz w:val="22"/>
      <w:szCs w:val="22"/>
      <w:u w:val="none"/>
    </w:rPr>
  </w:style>
  <w:style w:type="character" w:customStyle="1" w:styleId="334">
    <w:name w:val="font132"/>
    <w:qFormat/>
    <w:uiPriority w:val="0"/>
    <w:rPr>
      <w:rFonts w:hint="eastAsia" w:ascii="宋体" w:hAnsi="宋体" w:eastAsia="宋体" w:cs="宋体"/>
      <w:color w:val="000000"/>
      <w:sz w:val="22"/>
      <w:szCs w:val="22"/>
      <w:u w:val="none"/>
    </w:rPr>
  </w:style>
  <w:style w:type="character" w:customStyle="1" w:styleId="335">
    <w:name w:val="正文（绿盟科技） Char"/>
    <w:link w:val="336"/>
    <w:qFormat/>
    <w:uiPriority w:val="99"/>
    <w:rPr>
      <w:rFonts w:ascii="Arial" w:hAnsi="Arial"/>
      <w:sz w:val="21"/>
      <w:szCs w:val="22"/>
      <w:lang w:val="en-US" w:eastAsia="zh-CN" w:bidi="ar-SA"/>
    </w:rPr>
  </w:style>
  <w:style w:type="paragraph" w:customStyle="1" w:styleId="336">
    <w:name w:val="正文（绿盟科技）"/>
    <w:link w:val="335"/>
    <w:qFormat/>
    <w:uiPriority w:val="99"/>
    <w:pPr>
      <w:spacing w:line="300" w:lineRule="auto"/>
    </w:pPr>
    <w:rPr>
      <w:rFonts w:hint="default" w:ascii="Arial" w:hAnsi="Arial" w:eastAsia="宋体" w:cs="Times New Roman"/>
      <w:sz w:val="21"/>
      <w:szCs w:val="22"/>
      <w:lang w:val="en-US" w:eastAsia="zh-CN" w:bidi="ar-SA"/>
    </w:rPr>
  </w:style>
  <w:style w:type="character" w:customStyle="1" w:styleId="337">
    <w:name w:val="标题 1 Char"/>
    <w:qFormat/>
    <w:uiPriority w:val="0"/>
    <w:rPr>
      <w:b/>
      <w:bCs/>
      <w:sz w:val="44"/>
      <w:szCs w:val="44"/>
    </w:rPr>
  </w:style>
  <w:style w:type="character" w:customStyle="1" w:styleId="338">
    <w:name w:val="font131"/>
    <w:qFormat/>
    <w:uiPriority w:val="0"/>
    <w:rPr>
      <w:rFonts w:hint="eastAsia" w:ascii="宋体" w:hAnsi="宋体" w:eastAsia="宋体" w:cs="宋体"/>
      <w:color w:val="000000"/>
      <w:sz w:val="20"/>
      <w:szCs w:val="20"/>
      <w:u w:val="none"/>
    </w:rPr>
  </w:style>
  <w:style w:type="character" w:customStyle="1" w:styleId="339">
    <w:name w:val="font101"/>
    <w:qFormat/>
    <w:uiPriority w:val="0"/>
    <w:rPr>
      <w:rFonts w:ascii="Tahoma" w:hAnsi="Tahoma" w:eastAsia="Tahoma" w:cs="Tahoma"/>
      <w:color w:val="000000"/>
      <w:sz w:val="22"/>
      <w:szCs w:val="22"/>
      <w:u w:val="none"/>
    </w:rPr>
  </w:style>
  <w:style w:type="character" w:customStyle="1" w:styleId="340">
    <w:name w:val="标题 7 Char1"/>
    <w:semiHidden/>
    <w:qFormat/>
    <w:uiPriority w:val="0"/>
    <w:rPr>
      <w:b/>
      <w:bCs/>
      <w:sz w:val="24"/>
      <w:szCs w:val="24"/>
    </w:rPr>
  </w:style>
  <w:style w:type="character" w:customStyle="1" w:styleId="341">
    <w:name w:val="列出段落 Char"/>
    <w:link w:val="342"/>
    <w:qFormat/>
    <w:uiPriority w:val="0"/>
    <w:rPr>
      <w:rFonts w:ascii="Calibri" w:hAnsi="Calibri"/>
      <w:sz w:val="22"/>
    </w:rPr>
  </w:style>
  <w:style w:type="paragraph" w:customStyle="1" w:styleId="342">
    <w:name w:val="2"/>
    <w:basedOn w:val="1"/>
    <w:next w:val="343"/>
    <w:link w:val="341"/>
    <w:qFormat/>
    <w:uiPriority w:val="0"/>
    <w:pPr>
      <w:ind w:firstLine="420"/>
    </w:pPr>
    <w:rPr>
      <w:sz w:val="22"/>
      <w:szCs w:val="20"/>
    </w:rPr>
  </w:style>
  <w:style w:type="paragraph" w:customStyle="1" w:styleId="343">
    <w:name w:val="列出段落1"/>
    <w:basedOn w:val="1"/>
    <w:qFormat/>
    <w:uiPriority w:val="34"/>
    <w:pPr>
      <w:widowControl/>
      <w:ind w:left="720"/>
      <w:contextualSpacing/>
      <w:jc w:val="left"/>
    </w:pPr>
    <w:rPr>
      <w:rFonts w:cs="宋体"/>
      <w:sz w:val="24"/>
      <w:lang w:eastAsia="en-US"/>
    </w:rPr>
  </w:style>
  <w:style w:type="character" w:customStyle="1" w:styleId="344">
    <w:name w:val="font5 Char"/>
    <w:qFormat/>
    <w:uiPriority w:val="0"/>
    <w:rPr>
      <w:rFonts w:ascii="宋体" w:eastAsia="宋体"/>
      <w:sz w:val="28"/>
      <w:szCs w:val="28"/>
      <w:lang w:val="en-US" w:eastAsia="zh-CN"/>
    </w:rPr>
  </w:style>
  <w:style w:type="character" w:customStyle="1" w:styleId="345">
    <w:name w:val="页脚 Char"/>
    <w:qFormat/>
    <w:uiPriority w:val="99"/>
    <w:rPr>
      <w:sz w:val="18"/>
      <w:szCs w:val="18"/>
    </w:rPr>
  </w:style>
  <w:style w:type="character" w:customStyle="1" w:styleId="346">
    <w:name w:val="列出段落 Char1"/>
    <w:link w:val="347"/>
    <w:qFormat/>
    <w:uiPriority w:val="34"/>
    <w:rPr>
      <w:rFonts w:ascii="Calibri" w:hAnsi="Calibri"/>
      <w:sz w:val="21"/>
      <w:szCs w:val="22"/>
    </w:rPr>
  </w:style>
  <w:style w:type="paragraph" w:customStyle="1" w:styleId="347">
    <w:name w:val="列出段落1111"/>
    <w:basedOn w:val="1"/>
    <w:link w:val="346"/>
    <w:qFormat/>
    <w:uiPriority w:val="34"/>
    <w:pPr>
      <w:ind w:firstLine="420"/>
    </w:pPr>
  </w:style>
  <w:style w:type="character" w:customStyle="1" w:styleId="348">
    <w:name w:val="批注主题 Char"/>
    <w:qFormat/>
    <w:uiPriority w:val="99"/>
    <w:rPr>
      <w:b/>
      <w:bCs/>
    </w:rPr>
  </w:style>
  <w:style w:type="character" w:customStyle="1" w:styleId="349">
    <w:name w:val="批注文字 Char1"/>
    <w:qFormat/>
    <w:uiPriority w:val="99"/>
    <w:rPr>
      <w:rFonts w:ascii="Times New Roman" w:hAnsi="Times New Roman" w:eastAsia="宋体" w:cs="Times New Roman"/>
      <w:szCs w:val="24"/>
    </w:rPr>
  </w:style>
  <w:style w:type="character" w:customStyle="1" w:styleId="350">
    <w:name w:val="modeltitle"/>
    <w:basedOn w:val="221"/>
    <w:qFormat/>
    <w:uiPriority w:val="0"/>
  </w:style>
  <w:style w:type="character" w:customStyle="1" w:styleId="351">
    <w:name w:val="font01"/>
    <w:basedOn w:val="38"/>
    <w:qFormat/>
    <w:uiPriority w:val="0"/>
    <w:rPr>
      <w:rFonts w:hint="eastAsia" w:ascii="宋体" w:hAnsi="宋体" w:eastAsia="宋体" w:cs="宋体"/>
      <w:color w:val="000000"/>
      <w:sz w:val="20"/>
      <w:szCs w:val="20"/>
      <w:u w:val="none"/>
    </w:rPr>
  </w:style>
  <w:style w:type="character" w:customStyle="1" w:styleId="352">
    <w:name w:val="标题 Char"/>
    <w:qFormat/>
    <w:uiPriority w:val="0"/>
    <w:rPr>
      <w:rFonts w:ascii="Cambria" w:hAnsi="Cambria" w:cs="Times New Roman"/>
      <w:b/>
      <w:bCs/>
      <w:sz w:val="32"/>
      <w:szCs w:val="32"/>
    </w:rPr>
  </w:style>
  <w:style w:type="character" w:customStyle="1" w:styleId="353">
    <w:name w:val="列出段落字符"/>
    <w:qFormat/>
    <w:uiPriority w:val="34"/>
    <w:rPr>
      <w:rFonts w:ascii="Calibri" w:hAnsi="Calibri" w:eastAsia="宋体" w:cs="Times New Roman"/>
      <w:sz w:val="24"/>
      <w:szCs w:val="24"/>
    </w:rPr>
  </w:style>
  <w:style w:type="character" w:customStyle="1" w:styleId="354">
    <w:name w:val="标题 1 Char1"/>
    <w:qFormat/>
    <w:uiPriority w:val="99"/>
    <w:rPr>
      <w:b/>
      <w:bCs/>
      <w:sz w:val="44"/>
      <w:szCs w:val="44"/>
    </w:rPr>
  </w:style>
  <w:style w:type="character" w:customStyle="1" w:styleId="355">
    <w:name w:val="font51"/>
    <w:qFormat/>
    <w:uiPriority w:val="0"/>
    <w:rPr>
      <w:rFonts w:hint="eastAsia" w:ascii="宋体" w:hAnsi="宋体" w:eastAsia="宋体" w:cs="宋体"/>
      <w:i/>
      <w:color w:val="000000"/>
      <w:sz w:val="20"/>
      <w:szCs w:val="20"/>
      <w:u w:val="single"/>
    </w:rPr>
  </w:style>
  <w:style w:type="character" w:customStyle="1" w:styleId="356">
    <w:name w:val="font121"/>
    <w:qFormat/>
    <w:uiPriority w:val="0"/>
    <w:rPr>
      <w:rFonts w:ascii="宋体-简" w:hAnsi="宋体-简" w:eastAsia="宋体-简" w:cs="宋体-简"/>
      <w:i/>
      <w:color w:val="000000"/>
      <w:sz w:val="20"/>
      <w:szCs w:val="20"/>
      <w:u w:val="single"/>
    </w:rPr>
  </w:style>
  <w:style w:type="character" w:customStyle="1" w:styleId="357">
    <w:name w:val="正文首行缩进 Char"/>
    <w:qFormat/>
    <w:uiPriority w:val="0"/>
    <w:rPr>
      <w:rFonts w:ascii="Times New Roman" w:hAnsi="Times New Roman" w:eastAsia="宋体" w:cs="Times New Roman"/>
      <w:szCs w:val="20"/>
    </w:rPr>
  </w:style>
  <w:style w:type="character" w:customStyle="1" w:styleId="358">
    <w:name w:val="表格非标题文字 Char"/>
    <w:link w:val="359"/>
    <w:qFormat/>
    <w:uiPriority w:val="99"/>
    <w:rPr>
      <w:rFonts w:ascii="Futura Bk" w:hAnsi="Futura Bk"/>
      <w:sz w:val="18"/>
      <w:szCs w:val="21"/>
      <w:lang w:val="en-US" w:eastAsia="zh-CN" w:bidi="ar-SA"/>
    </w:rPr>
  </w:style>
  <w:style w:type="paragraph" w:customStyle="1" w:styleId="359">
    <w:name w:val="表格非标题文字"/>
    <w:link w:val="358"/>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60">
    <w:name w:val="普通(网站) Char1"/>
    <w:semiHidden/>
    <w:qFormat/>
    <w:uiPriority w:val="99"/>
    <w:rPr>
      <w:sz w:val="18"/>
      <w:szCs w:val="18"/>
    </w:rPr>
  </w:style>
  <w:style w:type="character" w:customStyle="1" w:styleId="361">
    <w:name w:val="js-正文 Char"/>
    <w:link w:val="362"/>
    <w:qFormat/>
    <w:uiPriority w:val="0"/>
    <w:rPr>
      <w:sz w:val="24"/>
      <w:szCs w:val="24"/>
    </w:rPr>
  </w:style>
  <w:style w:type="paragraph" w:customStyle="1" w:styleId="362">
    <w:name w:val="js-正文"/>
    <w:basedOn w:val="1"/>
    <w:link w:val="361"/>
    <w:qFormat/>
    <w:uiPriority w:val="0"/>
    <w:pPr>
      <w:spacing w:line="360" w:lineRule="auto"/>
      <w:ind w:firstLine="480"/>
    </w:pPr>
    <w:rPr>
      <w:sz w:val="24"/>
    </w:rPr>
  </w:style>
  <w:style w:type="character" w:customStyle="1" w:styleId="363">
    <w:name w:val="标题 3 Char1"/>
    <w:semiHidden/>
    <w:qFormat/>
    <w:uiPriority w:val="99"/>
    <w:rPr>
      <w:b/>
      <w:bCs/>
      <w:sz w:val="32"/>
      <w:szCs w:val="32"/>
    </w:rPr>
  </w:style>
  <w:style w:type="character" w:customStyle="1" w:styleId="364">
    <w:name w:val="正文首行缩进 Char1"/>
    <w:basedOn w:val="302"/>
    <w:semiHidden/>
    <w:qFormat/>
    <w:uiPriority w:val="99"/>
    <w:rPr>
      <w:rFonts w:ascii="Calibri" w:hAnsi="Calibri" w:eastAsia="宋体" w:cs="Times New Roman"/>
    </w:rPr>
  </w:style>
  <w:style w:type="character" w:customStyle="1" w:styleId="365">
    <w:name w:val="页眉 Char"/>
    <w:qFormat/>
    <w:uiPriority w:val="99"/>
    <w:rPr>
      <w:sz w:val="18"/>
      <w:szCs w:val="18"/>
    </w:rPr>
  </w:style>
  <w:style w:type="character" w:customStyle="1" w:styleId="366">
    <w:name w:val="apple-converted-space"/>
    <w:basedOn w:val="221"/>
    <w:qFormat/>
    <w:uiPriority w:val="0"/>
  </w:style>
  <w:style w:type="character" w:customStyle="1" w:styleId="367">
    <w:name w:val="日期 Char"/>
    <w:qFormat/>
    <w:uiPriority w:val="0"/>
    <w:rPr>
      <w:rFonts w:eastAsia="宋体"/>
      <w:sz w:val="24"/>
      <w:szCs w:val="24"/>
    </w:rPr>
  </w:style>
  <w:style w:type="character" w:customStyle="1" w:styleId="368">
    <w:name w:val="标题 6 Char1"/>
    <w:semiHidden/>
    <w:qFormat/>
    <w:uiPriority w:val="0"/>
    <w:rPr>
      <w:rFonts w:ascii="Cambria" w:hAnsi="Cambria" w:eastAsia="宋体" w:cs="Times New Roman"/>
      <w:b/>
      <w:bCs/>
      <w:sz w:val="24"/>
      <w:szCs w:val="24"/>
    </w:rPr>
  </w:style>
  <w:style w:type="character" w:customStyle="1" w:styleId="369">
    <w:name w:val="apple-style-span"/>
    <w:qFormat/>
    <w:uiPriority w:val="0"/>
  </w:style>
  <w:style w:type="paragraph" w:customStyle="1" w:styleId="370">
    <w:name w:val="段"/>
    <w:next w:val="371"/>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71">
    <w:name w:val="正文 A"/>
    <w:next w:val="370"/>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372">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73">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74">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375">
    <w:name w:val="_Style 235"/>
    <w:basedOn w:val="244"/>
    <w:next w:val="286"/>
    <w:qFormat/>
    <w:uiPriority w:val="0"/>
    <w:pPr>
      <w:spacing w:after="120"/>
      <w:ind w:firstLine="420"/>
      <w:jc w:val="center"/>
    </w:pPr>
    <w:rPr>
      <w:rFonts w:ascii="Times New Roman" w:hAnsi="Times New Roman" w:eastAsia="宋体"/>
      <w:position w:val="6"/>
      <w:sz w:val="21"/>
      <w:szCs w:val="24"/>
    </w:rPr>
  </w:style>
  <w:style w:type="paragraph" w:customStyle="1" w:styleId="376">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77">
    <w:name w:val="Item List_3"/>
    <w:basedOn w:val="378"/>
    <w:semiHidden/>
    <w:qFormat/>
    <w:uiPriority w:val="99"/>
    <w:pPr>
      <w:tabs>
        <w:tab w:val="left" w:pos="360"/>
        <w:tab w:val="left" w:pos="840"/>
        <w:tab w:val="left" w:pos="1134"/>
      </w:tabs>
    </w:pPr>
  </w:style>
  <w:style w:type="paragraph" w:customStyle="1" w:styleId="378">
    <w:name w:val="Item List_2"/>
    <w:basedOn w:val="309"/>
    <w:qFormat/>
    <w:uiPriority w:val="99"/>
    <w:pPr>
      <w:tabs>
        <w:tab w:val="left" w:pos="360"/>
        <w:tab w:val="left" w:pos="840"/>
      </w:tabs>
      <w:ind w:left="840" w:hanging="420"/>
    </w:pPr>
  </w:style>
  <w:style w:type="paragraph" w:customStyle="1" w:styleId="379">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80">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81">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82">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83">
    <w:name w:val="table_1stline"/>
    <w:basedOn w:val="1"/>
    <w:qFormat/>
    <w:uiPriority w:val="0"/>
    <w:pPr>
      <w:widowControl/>
      <w:spacing w:before="120"/>
      <w:jc w:val="left"/>
    </w:pPr>
    <w:rPr>
      <w:bCs/>
      <w:sz w:val="20"/>
      <w:szCs w:val="20"/>
      <w:lang w:val="de-DE" w:eastAsia="de-DE"/>
    </w:rPr>
  </w:style>
  <w:style w:type="paragraph" w:customStyle="1" w:styleId="384">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85">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386">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387">
    <w:name w:val="列出段落2"/>
    <w:basedOn w:val="1"/>
    <w:qFormat/>
    <w:uiPriority w:val="99"/>
    <w:pPr>
      <w:widowControl/>
      <w:ind w:firstLine="420"/>
      <w:jc w:val="left"/>
    </w:pPr>
    <w:rPr>
      <w:sz w:val="24"/>
    </w:rPr>
  </w:style>
  <w:style w:type="paragraph" w:customStyle="1" w:styleId="388">
    <w:name w:val="Char5 Char Char Char Char Char Char"/>
    <w:basedOn w:val="1"/>
    <w:qFormat/>
    <w:uiPriority w:val="0"/>
    <w:rPr>
      <w:rFonts w:ascii="Tahoma" w:hAnsi="Tahoma"/>
      <w:sz w:val="24"/>
      <w:szCs w:val="20"/>
    </w:rPr>
  </w:style>
  <w:style w:type="paragraph" w:customStyle="1" w:styleId="389">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390">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91">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9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3">
    <w:name w:val="Char"/>
    <w:basedOn w:val="1"/>
    <w:qFormat/>
    <w:uiPriority w:val="0"/>
    <w:rPr>
      <w:rFonts w:ascii="Tahoma" w:hAnsi="Tahoma"/>
      <w:sz w:val="24"/>
      <w:szCs w:val="20"/>
    </w:rPr>
  </w:style>
  <w:style w:type="paragraph" w:customStyle="1" w:styleId="394">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styleId="395">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396">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7">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398">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399">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0">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401">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02">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403">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0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05">
    <w:name w:val="Char Char1 Char Char Char Char Char Char Char"/>
    <w:basedOn w:val="1"/>
    <w:qFormat/>
    <w:uiPriority w:val="0"/>
    <w:rPr>
      <w:rFonts w:ascii="Tahoma" w:hAnsi="Tahoma" w:cs="Tahoma"/>
      <w:sz w:val="24"/>
    </w:rPr>
  </w:style>
  <w:style w:type="paragraph" w:customStyle="1" w:styleId="406">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407">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08">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409">
    <w:name w:val="Char2"/>
    <w:basedOn w:val="1"/>
    <w:qFormat/>
    <w:uiPriority w:val="0"/>
    <w:rPr>
      <w:rFonts w:ascii="仿宋_GB2312" w:eastAsia="仿宋_GB2312"/>
      <w:b/>
      <w:sz w:val="32"/>
      <w:szCs w:val="32"/>
    </w:rPr>
  </w:style>
  <w:style w:type="paragraph" w:customStyle="1" w:styleId="410">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411">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12">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13">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4">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15">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16">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17">
    <w:name w:val="列出段落31"/>
    <w:basedOn w:val="1"/>
    <w:qFormat/>
    <w:uiPriority w:val="72"/>
    <w:pPr>
      <w:widowControl/>
      <w:ind w:firstLine="420"/>
      <w:jc w:val="left"/>
    </w:pPr>
    <w:rPr>
      <w:rFonts w:ascii="Cambria" w:hAnsi="Cambria"/>
      <w:sz w:val="24"/>
    </w:rPr>
  </w:style>
  <w:style w:type="paragraph" w:customStyle="1" w:styleId="418">
    <w:name w:val="reader-word-layer"/>
    <w:basedOn w:val="1"/>
    <w:qFormat/>
    <w:uiPriority w:val="0"/>
    <w:pPr>
      <w:widowControl/>
      <w:spacing w:before="100" w:beforeAutospacing="1" w:after="100" w:afterAutospacing="1"/>
      <w:jc w:val="left"/>
    </w:pPr>
    <w:rPr>
      <w:sz w:val="24"/>
    </w:rPr>
  </w:style>
  <w:style w:type="paragraph" w:customStyle="1" w:styleId="419">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20">
    <w:name w:val="Char1 Char Char Char"/>
    <w:basedOn w:val="1"/>
    <w:qFormat/>
    <w:uiPriority w:val="0"/>
    <w:rPr>
      <w:rFonts w:ascii="Tahoma" w:hAnsi="Tahoma" w:cs="Tahoma"/>
      <w:sz w:val="24"/>
      <w:szCs w:val="20"/>
    </w:rPr>
  </w:style>
  <w:style w:type="paragraph" w:customStyle="1" w:styleId="421">
    <w:name w:val="二级标题"/>
    <w:basedOn w:val="422"/>
    <w:qFormat/>
    <w:uiPriority w:val="0"/>
    <w:pPr>
      <w:outlineLvl w:val="1"/>
    </w:pPr>
    <w:rPr>
      <w:lang w:eastAsia="zh-CN"/>
    </w:rPr>
  </w:style>
  <w:style w:type="paragraph" w:customStyle="1" w:styleId="422">
    <w:name w:val="一级标题"/>
    <w:basedOn w:val="1"/>
    <w:qFormat/>
    <w:uiPriority w:val="0"/>
    <w:pPr>
      <w:widowControl/>
      <w:jc w:val="left"/>
      <w:outlineLvl w:val="0"/>
    </w:pPr>
    <w:rPr>
      <w:rFonts w:ascii="宋体" w:hAnsi="宋体"/>
      <w:b/>
      <w:sz w:val="30"/>
      <w:lang w:eastAsia="en-US" w:bidi="en-US"/>
    </w:rPr>
  </w:style>
  <w:style w:type="paragraph" w:customStyle="1" w:styleId="423">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24">
    <w:name w:val="Char Char Char"/>
    <w:basedOn w:val="1"/>
    <w:qFormat/>
    <w:uiPriority w:val="0"/>
    <w:pPr>
      <w:widowControl/>
      <w:jc w:val="left"/>
    </w:pPr>
    <w:rPr>
      <w:rFonts w:ascii="Tahoma" w:hAnsi="Tahoma" w:cs="宋体"/>
      <w:sz w:val="24"/>
      <w:szCs w:val="20"/>
    </w:rPr>
  </w:style>
  <w:style w:type="paragraph" w:customStyle="1" w:styleId="425">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26">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27">
    <w:name w:val="Char5 Char Char Char Char Char Char2"/>
    <w:basedOn w:val="1"/>
    <w:qFormat/>
    <w:uiPriority w:val="0"/>
    <w:rPr>
      <w:rFonts w:ascii="Tahoma" w:hAnsi="Tahoma"/>
      <w:sz w:val="24"/>
      <w:szCs w:val="20"/>
    </w:rPr>
  </w:style>
  <w:style w:type="paragraph" w:customStyle="1" w:styleId="428">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2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30">
    <w:name w:val="默认段落字体 Para Char Char"/>
    <w:basedOn w:val="1"/>
    <w:qFormat/>
    <w:uiPriority w:val="0"/>
    <w:pPr>
      <w:spacing w:before="156" w:after="156"/>
    </w:pPr>
    <w:rPr>
      <w:szCs w:val="20"/>
    </w:rPr>
  </w:style>
  <w:style w:type="paragraph" w:customStyle="1" w:styleId="431">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32">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33">
    <w:name w:val="Char Char Char Char Char Char Char Char Char Char"/>
    <w:basedOn w:val="1"/>
    <w:qFormat/>
    <w:uiPriority w:val="0"/>
    <w:pPr>
      <w:spacing w:line="360" w:lineRule="auto"/>
    </w:pPr>
    <w:rPr>
      <w:sz w:val="24"/>
      <w:szCs w:val="20"/>
    </w:rPr>
  </w:style>
  <w:style w:type="paragraph" w:customStyle="1" w:styleId="434">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35">
    <w:name w:val="Char3"/>
    <w:basedOn w:val="238"/>
    <w:qFormat/>
    <w:uiPriority w:val="0"/>
    <w:pPr>
      <w:spacing w:line="360" w:lineRule="auto"/>
    </w:pPr>
    <w:rPr>
      <w:rFonts w:ascii="Tahoma" w:hAnsi="Tahoma" w:cs="Tahoma"/>
      <w:sz w:val="24"/>
      <w:szCs w:val="24"/>
    </w:rPr>
  </w:style>
  <w:style w:type="paragraph" w:customStyle="1" w:styleId="436">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37">
    <w:name w:val="彩色列表 - 强调文字颜色 11"/>
    <w:basedOn w:val="1"/>
    <w:qFormat/>
    <w:uiPriority w:val="34"/>
    <w:pPr>
      <w:ind w:firstLine="420"/>
    </w:pPr>
    <w:rPr>
      <w:rFonts w:ascii="Cambria" w:hAnsi="Cambria"/>
      <w:sz w:val="24"/>
    </w:rPr>
  </w:style>
  <w:style w:type="paragraph" w:customStyle="1" w:styleId="438">
    <w:name w:val="Char1"/>
    <w:basedOn w:val="1"/>
    <w:qFormat/>
    <w:uiPriority w:val="0"/>
    <w:pPr>
      <w:tabs>
        <w:tab w:val="left" w:pos="840"/>
      </w:tabs>
      <w:ind w:left="840" w:hanging="420"/>
    </w:pPr>
    <w:rPr>
      <w:sz w:val="24"/>
    </w:rPr>
  </w:style>
  <w:style w:type="paragraph" w:customStyle="1" w:styleId="439">
    <w:name w:val="默认段落字体 Para Char Char Char Char"/>
    <w:basedOn w:val="1"/>
    <w:qFormat/>
    <w:uiPriority w:val="0"/>
    <w:rPr>
      <w:rFonts w:ascii="Arial" w:hAnsi="Arial" w:cs="Arial"/>
      <w:szCs w:val="21"/>
    </w:rPr>
  </w:style>
  <w:style w:type="paragraph" w:customStyle="1" w:styleId="44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1">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42">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443">
    <w:name w:val="标题5"/>
    <w:basedOn w:val="216"/>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444">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45">
    <w:name w:val="四级标题"/>
    <w:basedOn w:val="446"/>
    <w:qFormat/>
    <w:uiPriority w:val="0"/>
    <w:pPr>
      <w:outlineLvl w:val="3"/>
    </w:pPr>
  </w:style>
  <w:style w:type="paragraph" w:customStyle="1" w:styleId="446">
    <w:name w:val="三级标题"/>
    <w:basedOn w:val="421"/>
    <w:qFormat/>
    <w:uiPriority w:val="0"/>
    <w:pPr>
      <w:spacing w:before="50" w:after="50"/>
      <w:ind w:left="1191"/>
      <w:outlineLvl w:val="2"/>
    </w:pPr>
    <w:rPr>
      <w:sz w:val="24"/>
    </w:rPr>
  </w:style>
  <w:style w:type="paragraph" w:customStyle="1" w:styleId="447">
    <w:name w:val="附录1"/>
    <w:qFormat/>
    <w:uiPriority w:val="0"/>
    <w:pPr>
      <w:tabs>
        <w:tab w:val="left" w:pos="907"/>
      </w:tabs>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448">
    <w:name w:val="table_lines"/>
    <w:basedOn w:val="1"/>
    <w:qFormat/>
    <w:uiPriority w:val="0"/>
    <w:pPr>
      <w:widowControl/>
      <w:jc w:val="left"/>
    </w:pPr>
    <w:rPr>
      <w:sz w:val="20"/>
      <w:szCs w:val="20"/>
      <w:lang w:val="de-DE" w:eastAsia="de-DE"/>
    </w:rPr>
  </w:style>
  <w:style w:type="paragraph" w:customStyle="1" w:styleId="449">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50">
    <w:name w:val="Char Char Char Char Char Char Char Char Char"/>
    <w:basedOn w:val="1"/>
    <w:qFormat/>
    <w:uiPriority w:val="0"/>
    <w:rPr>
      <w:rFonts w:ascii="Tahoma" w:hAnsi="Tahoma" w:cs="Tahoma"/>
      <w:sz w:val="24"/>
      <w:szCs w:val="20"/>
    </w:rPr>
  </w:style>
  <w:style w:type="paragraph" w:customStyle="1" w:styleId="451">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52">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53">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54">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55">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56">
    <w:name w:val="Char Char Char Char"/>
    <w:basedOn w:val="238"/>
    <w:qFormat/>
    <w:uiPriority w:val="0"/>
    <w:pPr>
      <w:spacing w:line="360" w:lineRule="auto"/>
    </w:pPr>
    <w:rPr>
      <w:rFonts w:ascii="Tahoma" w:hAnsi="Tahoma" w:cs="Tahoma"/>
      <w:sz w:val="24"/>
      <w:szCs w:val="24"/>
    </w:rPr>
  </w:style>
  <w:style w:type="paragraph" w:customStyle="1" w:styleId="457">
    <w:name w:val="正文蓝"/>
    <w:basedOn w:val="236"/>
    <w:qFormat/>
    <w:uiPriority w:val="0"/>
    <w:pPr>
      <w:spacing w:line="288" w:lineRule="auto"/>
      <w:ind w:firstLine="482"/>
    </w:pPr>
    <w:rPr>
      <w:rFonts w:ascii="仿宋_GB2312" w:hAnsi="宋体" w:eastAsia="仿宋_GB2312" w:cs="宋体"/>
      <w:bCs/>
      <w:color w:val="0000FF"/>
      <w:sz w:val="24"/>
      <w:szCs w:val="20"/>
    </w:rPr>
  </w:style>
  <w:style w:type="paragraph" w:customStyle="1" w:styleId="45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styleId="459">
    <w:name w:val="List Paragraph"/>
    <w:basedOn w:val="1"/>
    <w:qFormat/>
    <w:uiPriority w:val="0"/>
    <w:pPr>
      <w:ind w:firstLine="200"/>
    </w:pPr>
    <w:rPr>
      <w:rFonts w:cs="Arial"/>
    </w:rPr>
  </w:style>
  <w:style w:type="paragraph" w:customStyle="1" w:styleId="460">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61">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62">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63">
    <w:name w:val="标题2"/>
    <w:basedOn w:val="213"/>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46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65">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66">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67">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6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9">
    <w:name w:val="可研 + 首行缩进:  2 字符"/>
    <w:basedOn w:val="1"/>
    <w:qFormat/>
    <w:uiPriority w:val="0"/>
    <w:pPr>
      <w:spacing w:before="120" w:line="288" w:lineRule="auto"/>
      <w:ind w:firstLine="200"/>
    </w:pPr>
    <w:rPr>
      <w:rFonts w:eastAsia="仿宋_GB2312"/>
      <w:sz w:val="24"/>
      <w:szCs w:val="20"/>
    </w:rPr>
  </w:style>
  <w:style w:type="paragraph" w:customStyle="1" w:styleId="470">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71">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472">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73">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4">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75">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76">
    <w:name w:val="Char4"/>
    <w:basedOn w:val="1"/>
    <w:qFormat/>
    <w:uiPriority w:val="0"/>
    <w:pPr>
      <w:tabs>
        <w:tab w:val="left" w:pos="360"/>
      </w:tabs>
    </w:pPr>
    <w:rPr>
      <w:sz w:val="24"/>
    </w:rPr>
  </w:style>
  <w:style w:type="paragraph" w:customStyle="1" w:styleId="477">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78">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79">
    <w:name w:val="Char Char Char Char1"/>
    <w:basedOn w:val="238"/>
    <w:qFormat/>
    <w:uiPriority w:val="0"/>
    <w:pPr>
      <w:spacing w:line="360" w:lineRule="auto"/>
    </w:pPr>
    <w:rPr>
      <w:rFonts w:ascii="Tahoma" w:hAnsi="Tahoma"/>
      <w:sz w:val="24"/>
      <w:szCs w:val="24"/>
    </w:rPr>
  </w:style>
  <w:style w:type="paragraph" w:customStyle="1" w:styleId="480">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81">
    <w:name w:val="Item Step in Table"/>
    <w:qFormat/>
    <w:uiPriority w:val="0"/>
    <w:pPr>
      <w:tabs>
        <w:tab w:val="left" w:pos="397"/>
      </w:tabs>
      <w:spacing w:before="40" w:after="40"/>
      <w:jc w:val="both"/>
    </w:pPr>
    <w:rPr>
      <w:rFonts w:hint="default" w:ascii="Arial" w:hAnsi="Arial" w:eastAsia="宋体" w:cs="Arial"/>
      <w:sz w:val="18"/>
      <w:szCs w:val="18"/>
      <w:lang w:val="en-US" w:eastAsia="zh-CN" w:bidi="ar-SA"/>
    </w:rPr>
  </w:style>
  <w:style w:type="paragraph" w:customStyle="1" w:styleId="482">
    <w:name w:val="标题6"/>
    <w:basedOn w:val="217"/>
    <w:qFormat/>
    <w:uiPriority w:val="0"/>
    <w:pPr>
      <w:keepNext w:val="0"/>
      <w:keepLines w:val="0"/>
      <w:spacing w:before="0" w:after="0" w:line="360" w:lineRule="auto"/>
    </w:pPr>
    <w:rPr>
      <w:rFonts w:eastAsia="仿宋_GB2312"/>
      <w:b w:val="0"/>
      <w:sz w:val="30"/>
    </w:rPr>
  </w:style>
  <w:style w:type="paragraph" w:customStyle="1" w:styleId="483">
    <w:name w:val="Char5 Char Char Char Char Char Char1"/>
    <w:basedOn w:val="1"/>
    <w:qFormat/>
    <w:uiPriority w:val="0"/>
    <w:rPr>
      <w:rFonts w:ascii="Tahoma" w:hAnsi="Tahoma"/>
      <w:sz w:val="24"/>
      <w:szCs w:val="20"/>
    </w:rPr>
  </w:style>
  <w:style w:type="paragraph" w:customStyle="1" w:styleId="484">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85">
    <w:name w:val="样式3"/>
    <w:basedOn w:val="252"/>
    <w:qFormat/>
    <w:uiPriority w:val="0"/>
    <w:rPr>
      <w:rFonts w:cs="宋体"/>
    </w:rPr>
  </w:style>
  <w:style w:type="paragraph" w:customStyle="1" w:styleId="486">
    <w:name w:val="列表 31"/>
    <w:basedOn w:val="1"/>
    <w:qFormat/>
    <w:uiPriority w:val="0"/>
    <w:pPr>
      <w:ind w:left="100" w:hanging="200"/>
      <w:contextualSpacing/>
    </w:pPr>
  </w:style>
  <w:style w:type="paragraph" w:customStyle="1" w:styleId="487">
    <w:name w:val="列出段落11"/>
    <w:basedOn w:val="1"/>
    <w:qFormat/>
    <w:uiPriority w:val="99"/>
    <w:pPr>
      <w:ind w:firstLine="420"/>
    </w:pPr>
  </w:style>
  <w:style w:type="paragraph" w:customStyle="1" w:styleId="488">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89">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90">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491">
    <w:name w:val="默认段落字体 Para Char Char Char Char Char Char Char Char Char1 Char Char Char Char Char Char Char"/>
    <w:basedOn w:val="238"/>
    <w:qFormat/>
    <w:uiPriority w:val="0"/>
    <w:rPr>
      <w:rFonts w:ascii="Tahoma" w:hAnsi="Tahoma" w:cs="Tahoma"/>
      <w:sz w:val="24"/>
      <w:szCs w:val="24"/>
    </w:rPr>
  </w:style>
  <w:style w:type="paragraph" w:customStyle="1" w:styleId="492">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93">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94">
    <w:name w:val="五级标题"/>
    <w:basedOn w:val="445"/>
    <w:qFormat/>
    <w:uiPriority w:val="0"/>
    <w:pPr>
      <w:ind w:right="278"/>
      <w:outlineLvl w:val="4"/>
    </w:pPr>
  </w:style>
  <w:style w:type="paragraph" w:customStyle="1" w:styleId="495">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96">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9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98">
    <w:name w:val="Char Char Char Char Char Char Char"/>
    <w:basedOn w:val="1"/>
    <w:qFormat/>
    <w:uiPriority w:val="0"/>
    <w:pPr>
      <w:tabs>
        <w:tab w:val="left" w:pos="432"/>
      </w:tabs>
      <w:ind w:left="432" w:hanging="432"/>
    </w:pPr>
    <w:rPr>
      <w:rFonts w:ascii="Tahoma" w:hAnsi="Tahoma"/>
      <w:sz w:val="24"/>
      <w:szCs w:val="20"/>
    </w:rPr>
  </w:style>
  <w:style w:type="paragraph" w:customStyle="1" w:styleId="499">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00">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501">
    <w:name w:val="标题9"/>
    <w:basedOn w:val="220"/>
    <w:qFormat/>
    <w:uiPriority w:val="0"/>
    <w:pPr>
      <w:keepNext w:val="0"/>
      <w:keepLines w:val="0"/>
      <w:spacing w:before="0" w:after="0" w:line="360" w:lineRule="auto"/>
    </w:pPr>
    <w:rPr>
      <w:rFonts w:eastAsia="仿宋_GB2312"/>
      <w:sz w:val="30"/>
    </w:rPr>
  </w:style>
  <w:style w:type="paragraph" w:customStyle="1" w:styleId="502">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03">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04">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05">
    <w:name w:val="Char5 Char Char Char Char Char Char3"/>
    <w:basedOn w:val="1"/>
    <w:qFormat/>
    <w:uiPriority w:val="0"/>
    <w:rPr>
      <w:rFonts w:ascii="Tahoma" w:hAnsi="Tahoma"/>
      <w:sz w:val="24"/>
      <w:szCs w:val="20"/>
    </w:rPr>
  </w:style>
  <w:style w:type="paragraph" w:customStyle="1" w:styleId="506">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07">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508">
    <w:name w:val="纯文本2"/>
    <w:basedOn w:val="1"/>
    <w:qFormat/>
    <w:uiPriority w:val="0"/>
    <w:rPr>
      <w:rFonts w:ascii="宋体" w:hAnsi="Courier New" w:eastAsia="楷体_GB2312"/>
      <w:sz w:val="26"/>
      <w:szCs w:val="20"/>
    </w:rPr>
  </w:style>
  <w:style w:type="paragraph" w:customStyle="1" w:styleId="509">
    <w:name w:val="p25"/>
    <w:basedOn w:val="1"/>
    <w:qFormat/>
    <w:uiPriority w:val="0"/>
    <w:pPr>
      <w:widowControl/>
      <w:jc w:val="left"/>
    </w:pPr>
    <w:rPr>
      <w:rFonts w:ascii="宋体" w:hAnsi="宋体" w:cs="宋体"/>
      <w:sz w:val="26"/>
      <w:szCs w:val="26"/>
    </w:rPr>
  </w:style>
  <w:style w:type="paragraph" w:customStyle="1" w:styleId="510">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511">
    <w:name w:val="Char Char Char Char Char Char Char2"/>
    <w:basedOn w:val="1"/>
    <w:qFormat/>
    <w:uiPriority w:val="0"/>
    <w:pPr>
      <w:tabs>
        <w:tab w:val="left" w:pos="432"/>
      </w:tabs>
      <w:ind w:left="432" w:hanging="432"/>
    </w:pPr>
    <w:rPr>
      <w:rFonts w:ascii="Tahoma" w:hAnsi="Tahoma"/>
      <w:sz w:val="24"/>
      <w:szCs w:val="20"/>
    </w:rPr>
  </w:style>
  <w:style w:type="paragraph" w:customStyle="1" w:styleId="512">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513">
    <w:name w:val="样式2"/>
    <w:basedOn w:val="1"/>
    <w:qFormat/>
    <w:uiPriority w:val="0"/>
    <w:pPr>
      <w:spacing w:line="288" w:lineRule="auto"/>
    </w:pPr>
  </w:style>
  <w:style w:type="paragraph" w:customStyle="1" w:styleId="514">
    <w:name w:val="Body Text(ch)"/>
    <w:basedOn w:val="1"/>
    <w:next w:val="244"/>
    <w:qFormat/>
    <w:uiPriority w:val="0"/>
    <w:pPr>
      <w:spacing w:after="120"/>
    </w:pPr>
    <w:rPr>
      <w:rFonts w:ascii="宋体" w:hAnsi="宋体" w:cs="宋体"/>
      <w:bCs/>
      <w:iCs/>
    </w:rPr>
  </w:style>
  <w:style w:type="paragraph" w:customStyle="1" w:styleId="515">
    <w:name w:val="TOC 标题2"/>
    <w:basedOn w:val="212"/>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516">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17">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18">
    <w:name w:val="1"/>
    <w:basedOn w:val="1"/>
    <w:next w:val="343"/>
    <w:qFormat/>
    <w:uiPriority w:val="34"/>
    <w:pPr>
      <w:ind w:firstLine="420"/>
    </w:pPr>
  </w:style>
  <w:style w:type="paragraph" w:customStyle="1" w:styleId="519">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20">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1">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2">
    <w:name w:val="p0"/>
    <w:basedOn w:val="1"/>
    <w:qFormat/>
    <w:uiPriority w:val="99"/>
    <w:pPr>
      <w:widowControl/>
    </w:pPr>
    <w:rPr>
      <w:rFonts w:cs="宋体"/>
      <w:szCs w:val="21"/>
    </w:rPr>
  </w:style>
  <w:style w:type="paragraph" w:customStyle="1" w:styleId="523">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524">
    <w:name w:val="_Style 7"/>
    <w:basedOn w:val="1"/>
    <w:qFormat/>
    <w:uiPriority w:val="99"/>
    <w:pPr>
      <w:ind w:firstLine="420"/>
    </w:pPr>
    <w:rPr>
      <w:szCs w:val="20"/>
    </w:rPr>
  </w:style>
  <w:style w:type="paragraph" w:customStyle="1" w:styleId="525">
    <w:name w:val="标书内容123"/>
    <w:basedOn w:val="1"/>
    <w:qFormat/>
    <w:uiPriority w:val="99"/>
    <w:pPr>
      <w:widowControl/>
      <w:spacing w:line="360" w:lineRule="auto"/>
      <w:ind w:left="432"/>
      <w:jc w:val="left"/>
    </w:pPr>
    <w:rPr>
      <w:sz w:val="24"/>
    </w:rPr>
  </w:style>
  <w:style w:type="paragraph" w:customStyle="1" w:styleId="526">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27">
    <w:name w:val="无间隔2"/>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28">
    <w:name w:val="文档正文"/>
    <w:basedOn w:val="1"/>
    <w:qFormat/>
    <w:uiPriority w:val="0"/>
    <w:pPr>
      <w:spacing w:line="480" w:lineRule="atLeast"/>
      <w:ind w:firstLine="567"/>
    </w:pPr>
    <w:rPr>
      <w:rFonts w:ascii="仿宋_GB2312" w:eastAsia="仿宋_GB2312"/>
      <w:b/>
      <w:bCs/>
      <w:sz w:val="28"/>
      <w:szCs w:val="20"/>
    </w:rPr>
  </w:style>
  <w:style w:type="paragraph" w:customStyle="1" w:styleId="529">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30">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31">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32">
    <w:name w:val="4"/>
    <w:basedOn w:val="1"/>
    <w:next w:val="271"/>
    <w:qFormat/>
    <w:uiPriority w:val="0"/>
    <w:pPr>
      <w:spacing w:line="360" w:lineRule="auto"/>
      <w:ind w:firstLine="420"/>
    </w:pPr>
    <w:rPr>
      <w:color w:val="FF0000"/>
      <w:sz w:val="24"/>
    </w:rPr>
  </w:style>
  <w:style w:type="paragraph" w:customStyle="1" w:styleId="53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34">
    <w:name w:val="列表内容"/>
    <w:basedOn w:val="1"/>
    <w:next w:val="1"/>
    <w:qFormat/>
    <w:uiPriority w:val="0"/>
    <w:pPr>
      <w:widowControl/>
      <w:tabs>
        <w:tab w:val="left" w:pos="840"/>
      </w:tabs>
      <w:ind w:left="840" w:hanging="420"/>
      <w:jc w:val="left"/>
    </w:pPr>
    <w:rPr>
      <w:sz w:val="18"/>
    </w:rPr>
  </w:style>
  <w:style w:type="paragraph" w:customStyle="1" w:styleId="535">
    <w:name w:val="Char Char Char Char Char Char Char1"/>
    <w:basedOn w:val="1"/>
    <w:qFormat/>
    <w:uiPriority w:val="0"/>
    <w:pPr>
      <w:tabs>
        <w:tab w:val="left" w:pos="432"/>
      </w:tabs>
      <w:ind w:left="432" w:hanging="432"/>
    </w:pPr>
    <w:rPr>
      <w:rFonts w:ascii="Tahoma" w:hAnsi="Tahoma"/>
      <w:sz w:val="24"/>
      <w:szCs w:val="20"/>
    </w:rPr>
  </w:style>
  <w:style w:type="paragraph" w:customStyle="1" w:styleId="536">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37">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38">
    <w:name w:val="报告正文"/>
    <w:basedOn w:val="1"/>
    <w:qFormat/>
    <w:uiPriority w:val="0"/>
    <w:pPr>
      <w:ind w:firstLine="567"/>
    </w:pPr>
    <w:rPr>
      <w:rFonts w:ascii="Arial Narrow" w:hAnsi="Arial Narrow" w:eastAsia="仿宋_GB2312"/>
      <w:sz w:val="28"/>
      <w:szCs w:val="20"/>
    </w:rPr>
  </w:style>
  <w:style w:type="paragraph" w:customStyle="1" w:styleId="539">
    <w:name w:val="标题8"/>
    <w:basedOn w:val="219"/>
    <w:qFormat/>
    <w:uiPriority w:val="0"/>
    <w:pPr>
      <w:keepNext w:val="0"/>
      <w:keepLines w:val="0"/>
      <w:spacing w:before="0" w:after="0" w:line="360" w:lineRule="auto"/>
    </w:pPr>
    <w:rPr>
      <w:rFonts w:eastAsia="仿宋_GB2312"/>
      <w:sz w:val="30"/>
    </w:rPr>
  </w:style>
  <w:style w:type="paragraph" w:customStyle="1" w:styleId="540">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41">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42">
    <w:name w:val="列表 21"/>
    <w:basedOn w:val="1"/>
    <w:qFormat/>
    <w:uiPriority w:val="0"/>
    <w:pPr>
      <w:ind w:left="100" w:hanging="200"/>
      <w:contextualSpacing/>
    </w:pPr>
  </w:style>
  <w:style w:type="paragraph" w:customStyle="1" w:styleId="543">
    <w:name w:val="列出段落111"/>
    <w:basedOn w:val="1"/>
    <w:qFormat/>
    <w:uiPriority w:val="72"/>
    <w:pPr>
      <w:widowControl/>
      <w:ind w:firstLine="420"/>
      <w:jc w:val="left"/>
    </w:pPr>
    <w:rPr>
      <w:sz w:val="24"/>
      <w:szCs w:val="20"/>
    </w:rPr>
  </w:style>
  <w:style w:type="paragraph" w:customStyle="1" w:styleId="544">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45">
    <w:name w:val="Char Char Char Char Char Char Char Char1"/>
    <w:basedOn w:val="1"/>
    <w:qFormat/>
    <w:uiPriority w:val="0"/>
    <w:pPr>
      <w:widowControl/>
      <w:spacing w:after="160" w:line="240" w:lineRule="exact"/>
      <w:jc w:val="left"/>
    </w:pPr>
    <w:rPr>
      <w:rFonts w:ascii="Verdana" w:hAnsi="Verdana" w:cs="宋体"/>
      <w:sz w:val="20"/>
      <w:szCs w:val="20"/>
      <w:lang w:eastAsia="en-US"/>
    </w:rPr>
  </w:style>
  <w:style w:type="paragraph" w:customStyle="1" w:styleId="546">
    <w:name w:val="Char5 Char Char Char Char Char Char4"/>
    <w:basedOn w:val="1"/>
    <w:qFormat/>
    <w:uiPriority w:val="0"/>
    <w:rPr>
      <w:rFonts w:ascii="Tahoma" w:hAnsi="Tahoma"/>
      <w:sz w:val="24"/>
      <w:szCs w:val="20"/>
    </w:rPr>
  </w:style>
  <w:style w:type="paragraph" w:customStyle="1" w:styleId="547">
    <w:name w:val="Normal_2"/>
    <w:next w:val="548"/>
    <w:qFormat/>
    <w:uiPriority w:val="0"/>
    <w:pPr>
      <w:widowControl w:val="0"/>
      <w:jc w:val="both"/>
    </w:pPr>
    <w:rPr>
      <w:rFonts w:hint="default" w:ascii="Times New Roman" w:hAnsi="Times New Roman" w:eastAsia="Times New Roman" w:cs="Times New Roman"/>
      <w:sz w:val="21"/>
      <w:szCs w:val="24"/>
      <w:lang w:val="en-US" w:eastAsia="zh-CN" w:bidi="ar-SA"/>
    </w:rPr>
  </w:style>
  <w:style w:type="paragraph" w:customStyle="1" w:styleId="548">
    <w:name w:val="首行缩进_0"/>
    <w:basedOn w:val="547"/>
    <w:qFormat/>
    <w:uiPriority w:val="0"/>
    <w:pPr>
      <w:spacing w:line="360" w:lineRule="auto"/>
      <w:ind w:firstLine="480"/>
      <w:jc w:val="left"/>
    </w:pPr>
    <w:rPr>
      <w:rFonts w:ascii="宋体" w:hAnsi="宋体"/>
      <w:sz w:val="24"/>
    </w:rPr>
  </w:style>
  <w:style w:type="paragraph" w:customStyle="1" w:styleId="549">
    <w:name w:val="Normal_1"/>
    <w:next w:val="550"/>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50">
    <w:name w:val="首行缩进_0_0"/>
    <w:basedOn w:val="549"/>
    <w:qFormat/>
    <w:uiPriority w:val="0"/>
    <w:pPr>
      <w:spacing w:line="360" w:lineRule="auto"/>
      <w:ind w:firstLine="480"/>
      <w:jc w:val="left"/>
    </w:pPr>
    <w:rPr>
      <w:rFonts w:ascii="宋体" w:hAnsi="宋体"/>
      <w:sz w:val="24"/>
    </w:rPr>
  </w:style>
  <w:style w:type="paragraph" w:customStyle="1" w:styleId="551">
    <w:name w:val="p0_0"/>
    <w:basedOn w:val="549"/>
    <w:qFormat/>
    <w:uiPriority w:val="0"/>
    <w:pPr>
      <w:widowControl/>
    </w:pPr>
    <w:rPr>
      <w:szCs w:val="21"/>
    </w:rPr>
  </w:style>
  <w:style w:type="paragraph" w:customStyle="1" w:styleId="552">
    <w:name w:val="Normal_0"/>
    <w:next w:val="553"/>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553">
    <w:name w:val="Body Text"/>
    <w:basedOn w:val="552"/>
    <w:next w:val="554"/>
    <w:qFormat/>
    <w:uiPriority w:val="0"/>
    <w:pPr>
      <w:spacing w:after="120" w:afterAutospacing="0"/>
    </w:pPr>
  </w:style>
  <w:style w:type="paragraph" w:customStyle="1" w:styleId="554">
    <w:name w:val="style4"/>
    <w:basedOn w:val="552"/>
    <w:next w:val="555"/>
    <w:unhideWhenUsed/>
    <w:qFormat/>
    <w:uiPriority w:val="0"/>
    <w:pPr>
      <w:spacing w:before="280" w:after="280"/>
    </w:pPr>
    <w:rPr>
      <w:rFonts w:hint="eastAsia"/>
      <w:sz w:val="18"/>
      <w:szCs w:val="21"/>
    </w:rPr>
  </w:style>
  <w:style w:type="paragraph" w:customStyle="1" w:styleId="555">
    <w:name w:val="2_0"/>
    <w:next w:val="552"/>
    <w:unhideWhenUsed/>
    <w:qFormat/>
    <w:uiPriority w:val="0"/>
    <w:pPr>
      <w:widowControl w:val="0"/>
      <w:jc w:val="both"/>
    </w:pPr>
    <w:rPr>
      <w:rFonts w:hint="eastAsia" w:ascii="Times New Roman" w:hAnsi="Times New Roman" w:eastAsia="Times New Roman" w:cs="Times New Roman"/>
      <w:sz w:val="21"/>
      <w:szCs w:val="22"/>
      <w:lang w:val="en-US" w:eastAsia="zh-CN" w:bidi="ar-SA"/>
    </w:rPr>
  </w:style>
  <w:style w:type="paragraph" w:customStyle="1" w:styleId="556">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557">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558">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559">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560">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561">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62">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563">
    <w:name w:val="Normal_10"/>
    <w:qFormat/>
    <w:uiPriority w:val="0"/>
    <w:rPr>
      <w:rFonts w:hint="default" w:ascii="Times New Roman" w:hAnsi="Times New Roman" w:eastAsia="Times New Roman" w:cs="Times New Roman"/>
      <w:sz w:val="24"/>
      <w:szCs w:val="24"/>
      <w:lang w:val="en-US" w:eastAsia="zh-CN" w:bidi="ar-SA"/>
    </w:rPr>
  </w:style>
  <w:style w:type="paragraph" w:customStyle="1" w:styleId="564">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565">
    <w:name w:val="Normal_12"/>
    <w:qFormat/>
    <w:uiPriority w:val="0"/>
    <w:rPr>
      <w:rFonts w:hint="default" w:ascii="Times New Roman" w:hAnsi="Times New Roman" w:eastAsia="Times New Roman" w:cs="Times New Roman"/>
      <w:sz w:val="24"/>
      <w:szCs w:val="24"/>
      <w:lang w:val="en-US" w:eastAsia="zh-CN" w:bidi="ar-SA"/>
    </w:rPr>
  </w:style>
  <w:style w:type="paragraph" w:customStyle="1" w:styleId="566">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567">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568">
    <w:name w:val="Normal_15"/>
    <w:qFormat/>
    <w:uiPriority w:val="0"/>
    <w:rPr>
      <w:rFonts w:hint="default" w:ascii="Times New Roman" w:hAnsi="Times New Roman" w:eastAsia="Times New Roman" w:cs="Times New Roman"/>
      <w:sz w:val="24"/>
      <w:szCs w:val="24"/>
      <w:lang w:val="en-US" w:eastAsia="zh-CN" w:bidi="ar-SA"/>
    </w:rPr>
  </w:style>
  <w:style w:type="paragraph" w:customStyle="1" w:styleId="569">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570">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571">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572">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573">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574">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75">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576">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577">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578">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579">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580">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581">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582">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583">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584">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585">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586">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587">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588">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589">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590">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591">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592">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593">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594">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595">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596">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597">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598">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9">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600">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601">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602">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603">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604">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605">
    <w:name w:val="Normal_19_0"/>
    <w:qFormat/>
    <w:uiPriority w:val="0"/>
    <w:rPr>
      <w:rFonts w:hint="default" w:ascii="Times New Roman" w:hAnsi="Times New Roman" w:eastAsia="Times New Roman" w:cs="Times New Roman"/>
      <w:sz w:val="24"/>
      <w:szCs w:val="24"/>
      <w:lang w:val="en-US" w:eastAsia="zh-CN" w:bidi="ar-SA"/>
    </w:rPr>
  </w:style>
  <w:style w:type="paragraph" w:customStyle="1" w:styleId="606">
    <w:name w:val="Normal_20_0"/>
    <w:qFormat/>
    <w:uiPriority w:val="0"/>
    <w:rPr>
      <w:rFonts w:hint="default" w:ascii="Times New Roman" w:hAnsi="Times New Roman" w:eastAsia="Times New Roman" w:cs="Times New Roman"/>
      <w:sz w:val="24"/>
      <w:szCs w:val="24"/>
      <w:lang w:val="en-US" w:eastAsia="zh-CN" w:bidi="ar-SA"/>
    </w:rPr>
  </w:style>
  <w:style w:type="paragraph" w:customStyle="1" w:styleId="607">
    <w:name w:val="Normal_21_0"/>
    <w:qFormat/>
    <w:uiPriority w:val="0"/>
    <w:rPr>
      <w:rFonts w:hint="default" w:ascii="Times New Roman" w:hAnsi="Times New Roman" w:eastAsia="Times New Roman" w:cs="Times New Roman"/>
      <w:sz w:val="24"/>
      <w:szCs w:val="24"/>
      <w:lang w:val="en-US" w:eastAsia="zh-CN" w:bidi="ar-SA"/>
    </w:rPr>
  </w:style>
  <w:style w:type="paragraph" w:customStyle="1" w:styleId="608">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609">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610">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611">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612">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613">
    <w:name w:val="正文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4">
    <w:name w:val="正文文本_0"/>
    <w:basedOn w:val="613"/>
    <w:qFormat/>
    <w:uiPriority w:val="0"/>
    <w:pPr>
      <w:spacing w:line="400" w:lineRule="exact"/>
    </w:pPr>
    <w:rPr>
      <w:sz w:val="24"/>
    </w:rPr>
  </w:style>
  <w:style w:type="paragraph" w:customStyle="1" w:styleId="615">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616">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617">
    <w:name w:val="正文_1"/>
    <w:next w:val="618"/>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8">
    <w:name w:val="正文文本_0_0"/>
    <w:basedOn w:val="617"/>
    <w:qFormat/>
    <w:uiPriority w:val="0"/>
    <w:pPr>
      <w:spacing w:line="400" w:lineRule="exact"/>
    </w:pPr>
    <w:rPr>
      <w:sz w:val="24"/>
    </w:rPr>
  </w:style>
  <w:style w:type="paragraph" w:customStyle="1" w:styleId="619">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620">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621">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622">
    <w:name w:val="Normal_32"/>
    <w:qFormat/>
    <w:uiPriority w:val="0"/>
    <w:rPr>
      <w:rFonts w:hint="default" w:ascii="Times New Roman" w:hAnsi="Times New Roman" w:eastAsia="Times New Roman" w:cs="Times New Roman"/>
      <w:sz w:val="24"/>
      <w:szCs w:val="24"/>
      <w:lang w:val="en-US" w:eastAsia="zh-CN" w:bidi="ar-SA"/>
    </w:rPr>
  </w:style>
  <w:style w:type="paragraph" w:customStyle="1" w:styleId="623">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624">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625">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626">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627">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628">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629">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630">
    <w:name w:val="正文_2"/>
    <w:next w:val="63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1">
    <w:name w:val="正文文本_1"/>
    <w:basedOn w:val="630"/>
    <w:qFormat/>
    <w:uiPriority w:val="0"/>
    <w:pPr>
      <w:spacing w:line="400" w:lineRule="exact"/>
    </w:pPr>
    <w:rPr>
      <w:sz w:val="24"/>
    </w:rPr>
  </w:style>
  <w:style w:type="character" w:customStyle="1" w:styleId="632">
    <w:name w:val="标题 4 Char_0"/>
    <w:qFormat/>
    <w:uiPriority w:val="0"/>
    <w:rPr>
      <w:rFonts w:ascii="Cambria" w:hAnsi="Cambria" w:eastAsia="宋体" w:cs="Times New Roman"/>
      <w:b/>
      <w:bCs/>
      <w:sz w:val="28"/>
      <w:szCs w:val="28"/>
    </w:rPr>
  </w:style>
  <w:style w:type="paragraph" w:customStyle="1" w:styleId="633">
    <w:name w:val="Normal_40"/>
    <w:qFormat/>
    <w:uiPriority w:val="0"/>
    <w:rPr>
      <w:rFonts w:hint="default" w:ascii="Times New Roman" w:hAnsi="Times New Roman" w:eastAsia="Times New Roman" w:cs="Times New Roman"/>
      <w:sz w:val="24"/>
      <w:szCs w:val="24"/>
      <w:lang w:val="en-US" w:eastAsia="zh-CN" w:bidi="ar-SA"/>
    </w:rPr>
  </w:style>
  <w:style w:type="paragraph" w:customStyle="1" w:styleId="634">
    <w:name w:val="Normal_41"/>
    <w:qFormat/>
    <w:uiPriority w:val="0"/>
    <w:rPr>
      <w:rFonts w:hint="default" w:ascii="Times New Roman" w:hAnsi="Times New Roman" w:eastAsia="Times New Roman" w:cs="Times New Roman"/>
      <w:sz w:val="24"/>
      <w:szCs w:val="24"/>
      <w:lang w:val="en-US" w:eastAsia="zh-CN" w:bidi="ar-SA"/>
    </w:rPr>
  </w:style>
  <w:style w:type="paragraph" w:customStyle="1" w:styleId="635">
    <w:name w:val="Normal_42"/>
    <w:qFormat/>
    <w:uiPriority w:val="0"/>
    <w:rPr>
      <w:rFonts w:hint="default" w:ascii="Times New Roman" w:hAnsi="Times New Roman" w:eastAsia="Times New Roman" w:cs="Times New Roman"/>
      <w:sz w:val="24"/>
      <w:szCs w:val="24"/>
      <w:lang w:val="en-US" w:eastAsia="zh-CN" w:bidi="ar-SA"/>
    </w:rPr>
  </w:style>
  <w:style w:type="paragraph" w:customStyle="1" w:styleId="636">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637">
    <w:name w:val="Normal_44"/>
    <w:qFormat/>
    <w:uiPriority w:val="0"/>
    <w:rPr>
      <w:rFonts w:hint="default" w:ascii="Times New Roman" w:hAnsi="Times New Roman" w:eastAsia="Times New Roman" w:cs="Times New Roman"/>
      <w:sz w:val="24"/>
      <w:szCs w:val="24"/>
      <w:lang w:val="en-US" w:eastAsia="zh-CN" w:bidi="ar-SA"/>
    </w:rPr>
  </w:style>
  <w:style w:type="paragraph" w:customStyle="1" w:styleId="638">
    <w:name w:val="Normal_45"/>
    <w:qFormat/>
    <w:uiPriority w:val="0"/>
    <w:rPr>
      <w:rFonts w:hint="default" w:ascii="Times New Roman" w:hAnsi="Times New Roman" w:eastAsia="Times New Roman" w:cs="Times New Roman"/>
      <w:sz w:val="24"/>
      <w:szCs w:val="24"/>
      <w:lang w:val="en-US" w:eastAsia="zh-CN" w:bidi="ar-SA"/>
    </w:rPr>
  </w:style>
  <w:style w:type="paragraph" w:customStyle="1" w:styleId="639">
    <w:name w:val="Other|1"/>
    <w:basedOn w:val="1"/>
    <w:qFormat/>
    <w:uiPriority w:val="0"/>
    <w:pPr>
      <w:spacing w:line="410" w:lineRule="auto"/>
      <w:ind w:firstLine="400"/>
      <w:jc w:val="left"/>
    </w:pPr>
    <w:rPr>
      <w:rFonts w:ascii="宋体" w:hAnsi="宋体" w:cs="宋体"/>
      <w:sz w:val="20"/>
      <w:szCs w:val="20"/>
      <w:lang w:val="zh-TW" w:eastAsia="zh-TW" w:bidi="zh-TW"/>
    </w:rPr>
  </w:style>
  <w:style w:type="table" w:customStyle="1" w:styleId="640">
    <w:name w:val="Table Normal"/>
    <w:unhideWhenUsed/>
    <w:qFormat/>
    <w:uiPriority w:val="0"/>
    <w:tblPr>
      <w:tblCellMar>
        <w:top w:w="0" w:type="dxa"/>
        <w:left w:w="0" w:type="dxa"/>
        <w:bottom w:w="0" w:type="dxa"/>
        <w:right w:w="0" w:type="dxa"/>
      </w:tblCellMar>
    </w:tblPr>
  </w:style>
  <w:style w:type="character" w:customStyle="1" w:styleId="641">
    <w:name w:val="标题 4 Char2"/>
    <w:qFormat/>
    <w:uiPriority w:val="0"/>
    <w:rPr>
      <w:rFonts w:ascii="Cambria" w:hAnsi="Cambria" w:eastAsia="宋体" w:cs="Times New Roman"/>
      <w:b/>
      <w:bCs/>
      <w:sz w:val="28"/>
      <w:szCs w:val="28"/>
    </w:rPr>
  </w:style>
  <w:style w:type="paragraph" w:customStyle="1" w:styleId="642">
    <w:name w:val="标题 31"/>
    <w:basedOn w:val="1"/>
    <w:next w:val="643"/>
    <w:qFormat/>
    <w:uiPriority w:val="0"/>
    <w:pPr>
      <w:keepNext/>
      <w:keepLines/>
      <w:spacing w:before="260" w:after="260" w:line="416" w:lineRule="auto"/>
      <w:outlineLvl w:val="2"/>
    </w:pPr>
    <w:rPr>
      <w:b/>
      <w:bCs/>
      <w:sz w:val="32"/>
      <w:szCs w:val="32"/>
    </w:rPr>
  </w:style>
  <w:style w:type="paragraph" w:customStyle="1" w:styleId="643">
    <w:name w:val="正文缩进1"/>
    <w:basedOn w:val="1"/>
    <w:qFormat/>
    <w:uiPriority w:val="0"/>
    <w:pPr>
      <w:ind w:firstLine="420"/>
    </w:pPr>
  </w:style>
  <w:style w:type="paragraph" w:customStyle="1" w:styleId="644">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645">
    <w:name w:val="标题 41"/>
    <w:basedOn w:val="1"/>
    <w:next w:val="64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646">
    <w:name w:val="标题 11"/>
    <w:basedOn w:val="1"/>
    <w:next w:val="1"/>
    <w:qFormat/>
    <w:uiPriority w:val="0"/>
    <w:pPr>
      <w:keepNext/>
      <w:jc w:val="center"/>
      <w:outlineLvl w:val="0"/>
    </w:pPr>
    <w:rPr>
      <w:rFonts w:ascii="楷体_GB2312" w:eastAsia="楷体_GB2312"/>
      <w:sz w:val="28"/>
      <w:szCs w:val="28"/>
    </w:rPr>
  </w:style>
  <w:style w:type="paragraph" w:customStyle="1" w:styleId="647">
    <w:name w:val="纯文本1"/>
    <w:basedOn w:val="1"/>
    <w:qFormat/>
    <w:uiPriority w:val="0"/>
    <w:rPr>
      <w:rFonts w:ascii="宋体" w:hAnsi="Courier New" w:cs="Courier New"/>
    </w:rPr>
  </w:style>
  <w:style w:type="paragraph" w:customStyle="1" w:styleId="64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649">
    <w:name w:val="页脚1"/>
    <w:basedOn w:val="1"/>
    <w:qFormat/>
    <w:uiPriority w:val="0"/>
    <w:pPr>
      <w:tabs>
        <w:tab w:val="center" w:pos="4153"/>
        <w:tab w:val="right" w:pos="8306"/>
      </w:tabs>
      <w:jc w:val="left"/>
    </w:pPr>
    <w:rPr>
      <w:sz w:val="18"/>
      <w:szCs w:val="18"/>
    </w:rPr>
  </w:style>
  <w:style w:type="paragraph" w:customStyle="1" w:styleId="650">
    <w:name w:val="Table Paragraph"/>
    <w:basedOn w:val="1"/>
    <w:qFormat/>
    <w:uiPriority w:val="1"/>
  </w:style>
  <w:style w:type="character" w:customStyle="1" w:styleId="651">
    <w:name w:val="批注框文本 Char1"/>
    <w:basedOn w:val="38"/>
    <w:link w:val="20"/>
    <w:semiHidden/>
    <w:qFormat/>
    <w:uiPriority w:val="99"/>
    <w:rPr>
      <w:rFonts w:ascii="Calibri" w:hAnsi="Calibri"/>
      <w:sz w:val="18"/>
      <w:szCs w:val="18"/>
    </w:rPr>
  </w:style>
  <w:style w:type="character" w:customStyle="1" w:styleId="652">
    <w:name w:val="默认段落字体11"/>
    <w:link w:val="1"/>
    <w:semiHidden/>
    <w:qFormat/>
    <w:uiPriority w:val="0"/>
    <w:rPr>
      <w:rFonts w:ascii="Calibri" w:hAnsi="Calibri" w:eastAsia="宋体" w:cs="Times New Roman"/>
      <w:sz w:val="21"/>
      <w:szCs w:val="22"/>
      <w:lang w:val="en-US" w:eastAsia="zh-CN" w:bidi="ar-SA"/>
    </w:rPr>
  </w:style>
  <w:style w:type="paragraph" w:customStyle="1" w:styleId="653">
    <w:name w:val="Normal_6_1"/>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56</Pages>
  <Words>10084</Words>
  <Characters>10947</Characters>
  <TotalTime>1122</TotalTime>
  <ScaleCrop>false</ScaleCrop>
  <LinksUpToDate>false</LinksUpToDate>
  <CharactersWithSpaces>11295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2023-07-03T07:23:00Z</dcterms:created>
  <dc:creator>qi</dc:creator>
  <cp:lastModifiedBy>忆如从前</cp:lastModifiedBy>
  <dcterms:modified xsi:type="dcterms:W3CDTF">2025-12-03T02:51:47Z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eyJoZGlkIjoiYWZlNjFiZmY1ZWEwYTAzZDRkZmNjYmNjN2Y3NDhkZjQiLCJ1c2VySWQiOiIxOTQzMDc5NjEifQ==</vt:lpwstr>
  </property>
  <property fmtid="{D5CDD505-2E9C-101B-9397-08002B2CF9AE}" pid="3" name="KSOProductBuildVer">
    <vt:lpwstr>2052-12.1.0.23542</vt:lpwstr>
  </property>
  <property fmtid="{D5CDD505-2E9C-101B-9397-08002B2CF9AE}" pid="4" name="ICV">
    <vt:lpwstr>30EEFD87B4FB435D9E7BFB9E251097DA_12</vt:lpwstr>
  </property>
</Properties>
</file>